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BC75EB">
      <w:pPr>
        <w:pStyle w:val="4"/>
        <w:spacing w:line="360" w:lineRule="auto"/>
        <w:jc w:val="both"/>
        <w:rPr>
          <w:rFonts w:hint="eastAsia" w:hAnsi="宋体"/>
          <w:color w:val="auto"/>
          <w:kern w:val="2"/>
          <w:sz w:val="28"/>
          <w:szCs w:val="28"/>
        </w:rPr>
      </w:pPr>
      <w:r>
        <w:rPr>
          <w:rFonts w:hint="eastAsia" w:hAnsi="宋体"/>
          <w:color w:val="auto"/>
          <w:kern w:val="2"/>
          <w:sz w:val="28"/>
          <w:szCs w:val="28"/>
        </w:rPr>
        <w:t>附件2</w:t>
      </w:r>
    </w:p>
    <w:p w14:paraId="4404AC96">
      <w:pPr>
        <w:pStyle w:val="4"/>
        <w:spacing w:line="360" w:lineRule="auto"/>
        <w:jc w:val="both"/>
        <w:rPr>
          <w:rFonts w:hint="eastAsia" w:hAnsi="宋体"/>
          <w:color w:val="auto"/>
          <w:kern w:val="2"/>
          <w:sz w:val="28"/>
          <w:szCs w:val="28"/>
        </w:rPr>
      </w:pPr>
      <w:r>
        <w:rPr>
          <w:rFonts w:hint="eastAsia" w:hAnsi="宋体"/>
          <w:color w:val="auto"/>
          <w:kern w:val="2"/>
          <w:sz w:val="28"/>
          <w:szCs w:val="28"/>
        </w:rPr>
        <w:t>部分专家报告摘要：</w:t>
      </w:r>
    </w:p>
    <w:p w14:paraId="025DC5C5">
      <w:pPr>
        <w:spacing w:line="360" w:lineRule="auto"/>
        <w:ind w:firstLine="400" w:firstLineChars="200"/>
        <w:rPr>
          <w:rFonts w:ascii="Times New Roman" w:hAnsi="Times New Roman" w:eastAsia="宋体" w:cs="Times New Roman"/>
          <w:sz w:val="20"/>
          <w:szCs w:val="20"/>
        </w:rPr>
      </w:pPr>
      <w:r>
        <w:rPr>
          <w:rFonts w:ascii="Times New Roman" w:hAnsi="Times New Roman" w:eastAsia="宋体" w:cs="Times New Roman"/>
          <w:sz w:val="20"/>
          <w:szCs w:val="20"/>
        </w:rPr>
        <w:t>Prof. James Bussell. The University of Oxford 英国牛津大学</w:t>
      </w:r>
    </w:p>
    <w:p w14:paraId="6278D0C9">
      <w:pPr>
        <w:spacing w:line="360" w:lineRule="auto"/>
        <w:ind w:firstLine="400" w:firstLineChars="200"/>
        <w:rPr>
          <w:rFonts w:ascii="Times New Roman" w:hAnsi="Times New Roman" w:eastAsia="宋体" w:cs="Times New Roman"/>
          <w:sz w:val="20"/>
          <w:szCs w:val="20"/>
        </w:rPr>
      </w:pPr>
      <w:r>
        <w:rPr>
          <w:rFonts w:ascii="Times New Roman" w:hAnsi="Times New Roman" w:eastAsia="宋体" w:cs="Times New Roman"/>
          <w:sz w:val="20"/>
          <w:szCs w:val="20"/>
        </w:rPr>
        <w:t>动物实验室技术员与研究动物之间的互动是动物福利和科研质量的关键决定因素，然而这一因素往往未得到充分研究。个人态度、观念和文化影响着动物设施内的日常行为，塑造了实践中对待动物的方式。在许多情况下，基于证据的方法——如制定标准操作程序（SOP）以尽量减少动物休息期间的干扰——展示了深思熟虑、以福利为中心的策略。这样既能提升动物体验，又能增强研究结果可靠性。然而，与之相反的做法仍然存在，这些做法较少受证据驱动，而更多受根深蒂固的信念或所谓的智慧所驱使。例如，凭经验认为，对母性应该少干扰而避免常规检查。这些观点可能随着时间的推移而根深蒂固，并影响团队的行为，有时甚至会限制而非支持良好实践。本次演讲将探讨这些积极和消极的行为驱动因素是如何产生的，它们如何在设施文化中持续存在，以及它们如何影响动物福利和科研产出。演讲将强调对公认做法进行批判性评估的重要性，并培养一种反思性的、以证据为导向的关怀文化，以期达到优化动物、工作人员和研究诚信的效果。</w:t>
      </w:r>
    </w:p>
    <w:p w14:paraId="4FEE8E08">
      <w:pPr>
        <w:spacing w:line="360" w:lineRule="auto"/>
        <w:ind w:firstLine="400" w:firstLineChars="200"/>
        <w:rPr>
          <w:rFonts w:ascii="Times New Roman" w:hAnsi="Times New Roman" w:eastAsia="宋体" w:cs="Times New Roman"/>
          <w:sz w:val="20"/>
          <w:szCs w:val="20"/>
        </w:rPr>
      </w:pPr>
    </w:p>
    <w:p w14:paraId="0DCB9FAD">
      <w:pPr>
        <w:ind w:firstLine="400" w:firstLineChars="200"/>
        <w:jc w:val="left"/>
        <w:rPr>
          <w:rFonts w:ascii="Times New Roman" w:hAnsi="Times New Roman" w:eastAsia="宋体" w:cs="Times New Roman"/>
          <w:sz w:val="20"/>
          <w:szCs w:val="20"/>
        </w:rPr>
      </w:pPr>
      <w:r>
        <w:rPr>
          <w:rFonts w:ascii="Times New Roman" w:hAnsi="Times New Roman" w:eastAsia="宋体" w:cs="Times New Roman"/>
          <w:sz w:val="20"/>
          <w:szCs w:val="20"/>
        </w:rPr>
        <w:t>Dr. Gary L Borkowski. AAALAC</w:t>
      </w:r>
    </w:p>
    <w:p w14:paraId="57B9705C">
      <w:pPr>
        <w:spacing w:line="360" w:lineRule="auto"/>
        <w:ind w:firstLine="400" w:firstLineChars="200"/>
        <w:rPr>
          <w:rFonts w:ascii="Times New Roman" w:hAnsi="Times New Roman" w:eastAsia="宋体" w:cs="Times New Roman"/>
          <w:sz w:val="20"/>
          <w:szCs w:val="20"/>
        </w:rPr>
      </w:pPr>
      <w:r>
        <w:rPr>
          <w:rFonts w:ascii="Times New Roman" w:hAnsi="Times New Roman" w:eastAsia="宋体" w:cs="Times New Roman"/>
          <w:sz w:val="20"/>
          <w:szCs w:val="20"/>
        </w:rPr>
        <w:t>动物福利的质量是生物医学和转化研究中科学严谨性和可重复性的根本决定因素。尽管伦理义务长期以来一直推动着改善研究动物的护理和使用，但越来越多的证据表明，高标准的动物福利还能通过减少生物变异性、最大限度地减少应激引起的生理和行为混杂因素，并促进实验结果更加一致，从而提高数据质量。</w:t>
      </w:r>
    </w:p>
    <w:p w14:paraId="00186253">
      <w:pPr>
        <w:spacing w:line="360" w:lineRule="auto"/>
        <w:ind w:firstLine="400" w:firstLineChars="200"/>
        <w:rPr>
          <w:rFonts w:ascii="Times New Roman" w:hAnsi="Times New Roman" w:eastAsia="宋体" w:cs="Times New Roman"/>
          <w:sz w:val="20"/>
          <w:szCs w:val="20"/>
        </w:rPr>
      </w:pPr>
      <w:r>
        <w:rPr>
          <w:rFonts w:ascii="Times New Roman" w:hAnsi="Times New Roman" w:eastAsia="宋体" w:cs="Times New Roman"/>
          <w:sz w:val="20"/>
          <w:szCs w:val="20"/>
        </w:rPr>
        <w:t>本报告将探讨将动物福利融入严谨研究设计与执行的科学依据。议题将涵盖饲养环境、操作处理、环境丰富化、疼痛管理以及饲养实践对实验终点的影响，同时还将探讨标准化方案、人员培训以及机构文化在提高可重复性方面的作用。本报告还将重点介绍如何通过与3R原则（替代、减少和优化）相一致的优化策略，既提升动物福利，又增强科学研究的可靠性。</w:t>
      </w:r>
    </w:p>
    <w:p w14:paraId="4280C904">
      <w:pPr>
        <w:spacing w:line="360" w:lineRule="auto"/>
        <w:ind w:firstLine="400" w:firstLineChars="200"/>
        <w:rPr>
          <w:rFonts w:ascii="Times New Roman" w:hAnsi="Times New Roman" w:eastAsia="宋体" w:cs="Times New Roman"/>
          <w:sz w:val="20"/>
          <w:szCs w:val="20"/>
        </w:rPr>
      </w:pPr>
      <w:r>
        <w:rPr>
          <w:rFonts w:ascii="Times New Roman" w:hAnsi="Times New Roman" w:eastAsia="宋体" w:cs="Times New Roman"/>
          <w:sz w:val="20"/>
          <w:szCs w:val="20"/>
        </w:rPr>
        <w:t>将动物福利视为实验设计的重要组成部分，而不仅仅是监管或伦理要求，研究人员可以提高其研究的可靠性、可转化性和可重复性。与会者将获得实际见解，了解对动物福利的投资如何直接促进科学研究的稳健发展、增强对研究结果的信心以及提高公众对生物医学研究的信任度。</w:t>
      </w:r>
    </w:p>
    <w:p w14:paraId="61AC8781">
      <w:pPr>
        <w:spacing w:line="360" w:lineRule="auto"/>
        <w:ind w:firstLine="400" w:firstLineChars="200"/>
        <w:rPr>
          <w:rFonts w:ascii="Times New Roman" w:hAnsi="Times New Roman" w:eastAsia="宋体" w:cs="Times New Roman"/>
          <w:sz w:val="20"/>
          <w:szCs w:val="20"/>
        </w:rPr>
      </w:pPr>
    </w:p>
    <w:p w14:paraId="32D73A4E">
      <w:pPr>
        <w:spacing w:line="360" w:lineRule="auto"/>
        <w:ind w:firstLine="400" w:firstLineChars="200"/>
        <w:rPr>
          <w:rFonts w:ascii="Times New Roman" w:hAnsi="Times New Roman" w:eastAsia="宋体" w:cs="Times New Roman"/>
          <w:sz w:val="20"/>
          <w:szCs w:val="20"/>
        </w:rPr>
      </w:pPr>
      <w:r>
        <w:rPr>
          <w:rFonts w:ascii="Times New Roman" w:hAnsi="Times New Roman" w:eastAsia="宋体" w:cs="Times New Roman"/>
          <w:sz w:val="20"/>
          <w:szCs w:val="20"/>
        </w:rPr>
        <w:t>Prof. Ewan Smith. The University of Cambridge 英国剑桥大学</w:t>
      </w:r>
    </w:p>
    <w:p w14:paraId="05E47F08">
      <w:pPr>
        <w:spacing w:line="360" w:lineRule="auto"/>
        <w:ind w:firstLine="400" w:firstLineChars="200"/>
        <w:rPr>
          <w:rFonts w:ascii="Times New Roman" w:hAnsi="Times New Roman" w:eastAsia="宋体" w:cs="Times New Roman"/>
          <w:sz w:val="20"/>
          <w:szCs w:val="20"/>
        </w:rPr>
      </w:pPr>
      <w:r>
        <w:rPr>
          <w:rFonts w:ascii="Times New Roman" w:hAnsi="Times New Roman" w:eastAsia="宋体" w:cs="Times New Roman"/>
          <w:sz w:val="20"/>
          <w:szCs w:val="20"/>
        </w:rPr>
        <w:t>裸鼹鼠在其35年多的寿命中展现出许多健康衰老的迹象，从维持心脏功能到对与年龄有关的疾病（如癌症和神经退行性疾病）表现出了很高抵抗力。裸鼹鼠还表现出对炎性疼痛不敏感，我们最近发现它们对手术诱导的骨关节炎病理和疼痛具有抵抗力。年龄是骨关节炎的主要风险因素，目前全球约有6亿人受其影响，且尚无有效治疗方法。通过比较研究小鼠和裸鼹鼠对骨关节炎诱导刺激的反应，我们希望找出裸鼹鼠在关节损伤方面表现出韧性的机制，这可能有助于发现骨关节炎的新型预防和/或治疗方法。在裸鼹鼠的胃肠道内，我们发现裸鼹鼠的通透性低于小鼠，这表明裸鼹鼠可能是研究肠道疾病及相关疼痛机制的良好模型，因为胃肠道通透性增强是小鼠和人类结肠炎发展的风险因素。我们采用一系列体外和体内技术，旨在确定裸鼹鼠与小鼠的胃肠道对化学应激源的反应，以再次确定可能支持裸鼹鼠疾病抵抗力增强的机制。最后，我们还通过对年轻和年老裸鼹鼠大脑进行多组学分析，试图深入了解裸鼹鼠大脑皮层的健康衰老过程。我们的研究结果揭示了裸鼹鼠大脑中独特的与年龄相关的变化，例如衰老和炎症相关基因随年龄变化的最小化改变，而这些改变在其他物种衰老过程中是已知的上调。现在需要进一步的功能研究来验证我们的发现，并确定开发治疗与年龄相关的神经退行性疾病的疗法的转化潜力。总体而言，裸鼹鼠是一个引人入胜的物种，可能带来多种生物医学益处。</w:t>
      </w:r>
    </w:p>
    <w:p w14:paraId="29EA0E54">
      <w:pPr>
        <w:spacing w:line="360" w:lineRule="auto"/>
        <w:ind w:firstLine="400" w:firstLineChars="200"/>
        <w:rPr>
          <w:rFonts w:ascii="Times New Roman" w:hAnsi="Times New Roman" w:eastAsia="宋体" w:cs="Times New Roman"/>
          <w:sz w:val="20"/>
          <w:szCs w:val="20"/>
        </w:rPr>
      </w:pPr>
    </w:p>
    <w:p w14:paraId="13347DBE">
      <w:pPr>
        <w:spacing w:line="360" w:lineRule="auto"/>
        <w:ind w:firstLine="400" w:firstLineChars="200"/>
        <w:rPr>
          <w:rFonts w:ascii="Times New Roman" w:hAnsi="Times New Roman" w:eastAsia="宋体" w:cs="Times New Roman"/>
          <w:sz w:val="20"/>
          <w:szCs w:val="20"/>
        </w:rPr>
      </w:pPr>
      <w:r>
        <w:rPr>
          <w:rFonts w:ascii="Times New Roman" w:hAnsi="Times New Roman" w:eastAsia="宋体" w:cs="Times New Roman"/>
          <w:sz w:val="20"/>
          <w:szCs w:val="20"/>
        </w:rPr>
        <w:t>Prof. Tim Halim. The University of Cambridge 英国剑桥大学</w:t>
      </w:r>
    </w:p>
    <w:p w14:paraId="5FC8919A">
      <w:pPr>
        <w:spacing w:line="360" w:lineRule="auto"/>
        <w:ind w:firstLine="400" w:firstLineChars="200"/>
        <w:rPr>
          <w:rFonts w:ascii="Times New Roman" w:hAnsi="Times New Roman" w:eastAsia="宋体" w:cs="Times New Roman"/>
          <w:sz w:val="20"/>
          <w:szCs w:val="20"/>
        </w:rPr>
      </w:pPr>
      <w:r>
        <w:rPr>
          <w:rFonts w:ascii="Times New Roman" w:hAnsi="Times New Roman" w:eastAsia="宋体" w:cs="Times New Roman"/>
          <w:sz w:val="20"/>
          <w:szCs w:val="20"/>
        </w:rPr>
        <w:t>尽管目前尚不清楚组织成纤维细胞拓扑结构在原位是如何受到控制的，但可以明确的是局部成纤维细胞的发育和密度影响器官健康和疾病。我们的研究证实淋巴样细胞（ILC2）为胰腺中成纤维细胞稳态的关键调节因子。ILC2在外分泌胰腺的间质生态位中与表达Pi16+Dpp4+Ly6c+基因的成纤维细胞共定位，该生态位包裹着器官实质。ILC2特异性调节具有祖细胞能力的Pi16+Dpp4+Ly6c+成纤维细胞的扩增，同时在炎症期间抑制分化的实质内Col15a1+成纤维细胞。通过使用通用LIPSTIC小鼠对ILC2和成纤维细胞进行体内邻近标记，进一步鉴定了在稳态和炎症条件下直接与成纤维细胞相互作用的其它免疫细胞。这些回路在损伤后增强成纤维细胞数量，并设定炎症阈值。ILC2和Pi16+Dpp4+Ly6c+成纤维细胞祖细胞生态位在肿瘤周围扩展，并控制癌症相关成纤维细胞的个体发育和密度。遗传谱系追踪实验显示，Pi16+Dpp4+Ly6c+成纤维细胞祖细胞是炎症性和肌成纤维细胞癌症相关成纤维细胞（CAFs）的有效来源，而在胰腺导管腺癌（PDAC）模型中，ILC2可以控制CAF的密度。总之，ILC2-成纤维细胞对话代表了一个调节节点，在局部协调组织稳态和病理。</w:t>
      </w:r>
    </w:p>
    <w:p w14:paraId="2C86A7E6">
      <w:pPr>
        <w:spacing w:line="360" w:lineRule="auto"/>
        <w:ind w:firstLine="400" w:firstLineChars="200"/>
        <w:rPr>
          <w:rFonts w:ascii="Times New Roman" w:hAnsi="Times New Roman" w:eastAsia="宋体" w:cs="Times New Roman"/>
          <w:sz w:val="20"/>
          <w:szCs w:val="20"/>
        </w:rPr>
      </w:pPr>
    </w:p>
    <w:p w14:paraId="44E3EC0F">
      <w:pPr>
        <w:spacing w:line="360" w:lineRule="auto"/>
        <w:ind w:firstLine="400" w:firstLineChars="200"/>
        <w:rPr>
          <w:rFonts w:ascii="Times New Roman" w:hAnsi="Times New Roman" w:eastAsia="宋体" w:cs="Times New Roman"/>
          <w:sz w:val="20"/>
          <w:szCs w:val="20"/>
        </w:rPr>
      </w:pPr>
      <w:r>
        <w:rPr>
          <w:rFonts w:ascii="Times New Roman" w:hAnsi="Times New Roman" w:eastAsia="宋体" w:cs="Times New Roman"/>
          <w:sz w:val="20"/>
          <w:szCs w:val="20"/>
        </w:rPr>
        <w:t>韦玉生 博士 北京大学</w:t>
      </w:r>
    </w:p>
    <w:p w14:paraId="76E3DC8E">
      <w:pPr>
        <w:spacing w:line="360" w:lineRule="auto"/>
        <w:rPr>
          <w:rFonts w:ascii="Times New Roman" w:hAnsi="Times New Roman" w:eastAsia="宋体" w:cs="Times New Roman"/>
          <w:sz w:val="20"/>
          <w:szCs w:val="20"/>
        </w:rPr>
      </w:pPr>
      <w:r>
        <w:rPr>
          <w:rFonts w:ascii="Times New Roman" w:hAnsi="Times New Roman" w:eastAsia="宋体" w:cs="Times New Roman"/>
          <w:sz w:val="20"/>
          <w:szCs w:val="20"/>
        </w:rPr>
        <w:t>将介绍北京大学实验动物中心概况以及在实验动物健康管理方面的日常工作，结合兽医在实验动物福利保障和健康监测中的主要任务，针对目前兽医巡检工作中评价标准差异大、量化指标不足的现状，我们研制了兽医巡检的量化评价方案及相关报告软件系统，提供可在手机和平板端便捷开展巡检的工具，以加强动物福利和健康监测评价的标准化，提高评估能力和工作的可比性。</w:t>
      </w:r>
    </w:p>
    <w:p w14:paraId="1E911D03">
      <w:pPr>
        <w:spacing w:line="360" w:lineRule="auto"/>
        <w:ind w:firstLine="400" w:firstLineChars="200"/>
        <w:rPr>
          <w:rFonts w:ascii="Times New Roman" w:hAnsi="Times New Roman" w:eastAsia="宋体" w:cs="Times New Roman"/>
          <w:sz w:val="20"/>
          <w:szCs w:val="20"/>
        </w:rPr>
      </w:pPr>
    </w:p>
    <w:p w14:paraId="4012C572">
      <w:pPr>
        <w:spacing w:line="360" w:lineRule="auto"/>
        <w:ind w:firstLine="400" w:firstLineChars="200"/>
        <w:rPr>
          <w:rFonts w:ascii="Times New Roman" w:hAnsi="Times New Roman" w:eastAsia="宋体" w:cs="Times New Roman"/>
          <w:sz w:val="20"/>
          <w:szCs w:val="20"/>
        </w:rPr>
      </w:pPr>
      <w:r>
        <w:rPr>
          <w:rFonts w:ascii="Times New Roman" w:hAnsi="Times New Roman" w:eastAsia="宋体" w:cs="Times New Roman"/>
          <w:sz w:val="20"/>
          <w:szCs w:val="20"/>
        </w:rPr>
        <w:t>师长宏 教授</w:t>
      </w:r>
      <w:r>
        <w:rPr>
          <w:rFonts w:hint="eastAsia" w:ascii="Times New Roman" w:hAnsi="Times New Roman" w:eastAsia="宋体" w:cs="Times New Roman"/>
          <w:sz w:val="20"/>
          <w:szCs w:val="20"/>
        </w:rPr>
        <w:t xml:space="preserve"> 空军军医大学 </w:t>
      </w:r>
    </w:p>
    <w:p w14:paraId="2B2D7996">
      <w:pPr>
        <w:spacing w:line="360" w:lineRule="auto"/>
        <w:ind w:firstLine="400" w:firstLineChars="200"/>
        <w:rPr>
          <w:rFonts w:ascii="Times New Roman" w:hAnsi="Times New Roman" w:eastAsia="宋体" w:cs="Times New Roman"/>
          <w:sz w:val="20"/>
          <w:szCs w:val="20"/>
        </w:rPr>
      </w:pPr>
      <w:r>
        <w:rPr>
          <w:rFonts w:ascii="Times New Roman" w:hAnsi="Times New Roman" w:eastAsia="宋体" w:cs="Times New Roman"/>
          <w:sz w:val="20"/>
          <w:szCs w:val="20"/>
        </w:rPr>
        <w:t>报告将重点结合课题组在人源化基因编辑猪创制研究中的实践经验，分析了异种移植所特有的供体动物福利、生物安全源头风险等核心议题，并据此提出专项审查指南、提升审查能力、加强基于风险防控的跨部门信息协同等具体建议，探讨如何依据现有科技管理法规体系，完善和强化异种器官移植临床前实验动物伦理审查的机制，为临床研究提供坚实的支撑，推动异种器官移植技术安全有序发展。</w:t>
      </w:r>
    </w:p>
    <w:p w14:paraId="0A9E3ACC">
      <w:pPr>
        <w:spacing w:line="360" w:lineRule="auto"/>
        <w:ind w:firstLine="400" w:firstLineChars="200"/>
        <w:rPr>
          <w:rFonts w:ascii="Times New Roman" w:hAnsi="Times New Roman" w:eastAsia="宋体" w:cs="Times New Roman"/>
          <w:sz w:val="20"/>
          <w:szCs w:val="20"/>
        </w:rPr>
      </w:pPr>
    </w:p>
    <w:p w14:paraId="73426CA3">
      <w:pPr>
        <w:spacing w:line="360" w:lineRule="auto"/>
        <w:ind w:firstLine="400" w:firstLineChars="200"/>
        <w:rPr>
          <w:rFonts w:ascii="Times New Roman" w:hAnsi="Times New Roman" w:eastAsia="宋体" w:cs="Times New Roman"/>
          <w:sz w:val="20"/>
          <w:szCs w:val="20"/>
        </w:rPr>
      </w:pPr>
      <w:r>
        <w:rPr>
          <w:rFonts w:ascii="Times New Roman" w:hAnsi="Times New Roman" w:eastAsia="宋体" w:cs="Times New Roman"/>
          <w:sz w:val="20"/>
          <w:szCs w:val="20"/>
        </w:rPr>
        <w:t xml:space="preserve">耿祥飞 博士 北京莱艾特科技发展有限公司 </w:t>
      </w:r>
    </w:p>
    <w:p w14:paraId="564EA2D3">
      <w:pPr>
        <w:spacing w:line="360" w:lineRule="auto"/>
        <w:ind w:firstLine="400" w:firstLineChars="200"/>
        <w:rPr>
          <w:rFonts w:ascii="Times New Roman" w:hAnsi="Times New Roman" w:eastAsia="宋体" w:cs="Times New Roman"/>
          <w:sz w:val="20"/>
          <w:szCs w:val="20"/>
        </w:rPr>
      </w:pPr>
      <w:r>
        <w:rPr>
          <w:rFonts w:ascii="Times New Roman" w:hAnsi="Times New Roman" w:eastAsia="宋体" w:cs="Times New Roman"/>
          <w:sz w:val="20"/>
          <w:szCs w:val="20"/>
        </w:rPr>
        <w:t>环境丰容是践行实验动物“五大自由”、纠正异常行为、保障实验数据稳定的关键举措。当前主流丰容体系覆盖庇护、觅食活动、社交、认知感知四大模块，通过物种专属设施复现天然行为，降低应激激素水平，提升实验数据的准确性与可重复性。但实际运行中仍存多重痛点，如笼舍空间小、成本升高等问题，对此需进行个性化、精细化丰容选择。报告将对此进行深入剖析，提出有效解决方案。</w:t>
      </w:r>
    </w:p>
    <w:p w14:paraId="21C94B00">
      <w:pPr>
        <w:spacing w:line="360" w:lineRule="auto"/>
        <w:ind w:firstLine="400" w:firstLineChars="200"/>
        <w:rPr>
          <w:rFonts w:ascii="Times New Roman" w:hAnsi="Times New Roman" w:eastAsia="宋体" w:cs="Times New Roman"/>
          <w:sz w:val="20"/>
          <w:szCs w:val="20"/>
        </w:rPr>
      </w:pPr>
    </w:p>
    <w:p w14:paraId="424F0A61">
      <w:pPr>
        <w:spacing w:line="360" w:lineRule="auto"/>
        <w:ind w:firstLine="400" w:firstLineChars="200"/>
        <w:rPr>
          <w:rFonts w:ascii="Times New Roman" w:hAnsi="Times New Roman" w:eastAsia="宋体" w:cs="Times New Roman"/>
          <w:sz w:val="20"/>
          <w:szCs w:val="20"/>
        </w:rPr>
      </w:pPr>
      <w:r>
        <w:rPr>
          <w:rFonts w:ascii="Times New Roman" w:hAnsi="Times New Roman" w:eastAsia="宋体" w:cs="Times New Roman"/>
          <w:sz w:val="20"/>
          <w:szCs w:val="20"/>
        </w:rPr>
        <w:t>赵丹慧 研究员 北京积水潭医院</w:t>
      </w:r>
    </w:p>
    <w:p w14:paraId="6D4DFABC">
      <w:pPr>
        <w:spacing w:line="360" w:lineRule="auto"/>
        <w:ind w:firstLine="400" w:firstLineChars="200"/>
        <w:rPr>
          <w:rFonts w:ascii="Times New Roman" w:hAnsi="Times New Roman" w:eastAsia="宋体" w:cs="Times New Roman"/>
          <w:sz w:val="20"/>
          <w:szCs w:val="20"/>
        </w:rPr>
      </w:pPr>
      <w:r>
        <w:rPr>
          <w:rFonts w:ascii="Times New Roman" w:hAnsi="Times New Roman" w:eastAsia="宋体" w:cs="Times New Roman"/>
          <w:sz w:val="20"/>
          <w:szCs w:val="20"/>
        </w:rPr>
        <w:t>在用实验动物进行外科研究中，动物福利贯穿术前准备、麻醉实施、手术操作、术后镇痛、护理康复及实验终点的全过程，而不是只局限于麻醉或手术阶段。本报告结合实验大动物外科实践，围绕术前评估、应激控制、围手术期麻醉与镇痛、术后护理及疼痛行为评估等关键环节，探讨如何通过连续、科学的围手术期管理减轻动物痛苦，促进机体恢复，维持生理稳态。报告将和大家讨论围手术期管理的重要措施，各阶段的工作要点，让大家有实实在在的收获。</w:t>
      </w:r>
    </w:p>
    <w:p w14:paraId="6398F3C8">
      <w:pPr>
        <w:spacing w:line="360" w:lineRule="auto"/>
        <w:ind w:firstLine="400" w:firstLineChars="200"/>
        <w:rPr>
          <w:rFonts w:ascii="Times New Roman" w:hAnsi="Times New Roman" w:eastAsia="宋体" w:cs="Times New Roman"/>
          <w:sz w:val="20"/>
          <w:szCs w:val="20"/>
        </w:rPr>
      </w:pPr>
    </w:p>
    <w:p w14:paraId="7DCD38A9">
      <w:pPr>
        <w:spacing w:line="360" w:lineRule="auto"/>
        <w:ind w:firstLine="400" w:firstLineChars="200"/>
        <w:rPr>
          <w:rFonts w:ascii="Times New Roman" w:hAnsi="Times New Roman" w:eastAsia="宋体" w:cs="Times New Roman"/>
          <w:sz w:val="20"/>
          <w:szCs w:val="20"/>
        </w:rPr>
      </w:pPr>
      <w:r>
        <w:rPr>
          <w:rFonts w:ascii="Times New Roman" w:hAnsi="Times New Roman" w:eastAsia="宋体" w:cs="Times New Roman"/>
          <w:sz w:val="20"/>
          <w:szCs w:val="20"/>
        </w:rPr>
        <w:t xml:space="preserve">邵奇鸣 </w:t>
      </w:r>
      <w:r>
        <w:rPr>
          <w:rFonts w:hint="eastAsia" w:ascii="Times New Roman" w:hAnsi="Times New Roman" w:eastAsia="宋体" w:cs="Times New Roman"/>
          <w:sz w:val="20"/>
          <w:szCs w:val="20"/>
        </w:rPr>
        <w:t>博士</w:t>
      </w:r>
      <w:r>
        <w:rPr>
          <w:rFonts w:ascii="Times New Roman" w:hAnsi="Times New Roman" w:eastAsia="宋体" w:cs="Times New Roman"/>
          <w:sz w:val="20"/>
          <w:szCs w:val="20"/>
        </w:rPr>
        <w:tab/>
      </w:r>
      <w:r>
        <w:rPr>
          <w:rFonts w:ascii="Times New Roman" w:hAnsi="Times New Roman" w:eastAsia="宋体" w:cs="Times New Roman"/>
          <w:sz w:val="20"/>
          <w:szCs w:val="20"/>
        </w:rPr>
        <w:t xml:space="preserve">江苏鼎泰药物研发（集团）有限公司 </w:t>
      </w:r>
    </w:p>
    <w:p w14:paraId="4503B902">
      <w:pPr>
        <w:spacing w:line="360" w:lineRule="auto"/>
        <w:ind w:firstLine="400" w:firstLineChars="200"/>
        <w:rPr>
          <w:rFonts w:ascii="Times New Roman" w:hAnsi="Times New Roman" w:eastAsia="宋体" w:cs="Times New Roman"/>
          <w:sz w:val="20"/>
          <w:szCs w:val="20"/>
        </w:rPr>
      </w:pPr>
      <w:r>
        <w:rPr>
          <w:rFonts w:ascii="Times New Roman" w:hAnsi="Times New Roman" w:eastAsia="宋体" w:cs="Times New Roman"/>
          <w:sz w:val="20"/>
          <w:szCs w:val="20"/>
        </w:rPr>
        <w:t>实验动物机构的职业健康安全在国内外标准、指南中均有要求，尤其是在《Guide for the Care and Use of Laboratory Animals》（实验动物护理和使用指南）（</w:t>
      </w:r>
      <w:r>
        <w:rPr>
          <w:rFonts w:hint="eastAsia" w:ascii="Times New Roman" w:hAnsi="Times New Roman" w:eastAsia="宋体" w:cs="Times New Roman"/>
          <w:sz w:val="20"/>
          <w:szCs w:val="20"/>
        </w:rPr>
        <w:t>以</w:t>
      </w:r>
      <w:r>
        <w:rPr>
          <w:rFonts w:ascii="Times New Roman" w:hAnsi="Times New Roman" w:eastAsia="宋体" w:cs="Times New Roman"/>
          <w:sz w:val="20"/>
          <w:szCs w:val="20"/>
        </w:rPr>
        <w:t>下简称Guide）中，‌职业健康与安全计划（Occupational Health and Safety Program, OHSP）‌ 被明确列为机构必须建立实验动物设施管理及护理的一个主要核心部分，旨在保护从业人员的健康安全，避免受到伤害。然而，实际工作中不少的机构对此还是模糊不清，管理不到位。本讲座将通过本单位结合Guide对职业健康安全的要求，在机构内建立职业健康安全管理体系，从管理机构到具体实践，旨在为国内实验动物机构提供职业健康安全管理思路，提供具体的工作方法及实施手段，帮助大家提高职业健康安全管理意识，更好的保护实验动物从业人员，提高实验动物设施管理水平。</w:t>
      </w:r>
    </w:p>
    <w:p w14:paraId="3ADD6741">
      <w:pPr>
        <w:spacing w:line="360" w:lineRule="auto"/>
        <w:ind w:firstLine="400" w:firstLineChars="200"/>
        <w:rPr>
          <w:rFonts w:ascii="Times New Roman" w:hAnsi="Times New Roman" w:eastAsia="宋体" w:cs="Times New Roman"/>
          <w:sz w:val="20"/>
          <w:szCs w:val="20"/>
        </w:rPr>
      </w:pPr>
    </w:p>
    <w:p w14:paraId="5ACF072C">
      <w:pPr>
        <w:spacing w:line="360" w:lineRule="auto"/>
        <w:ind w:firstLine="400" w:firstLineChars="200"/>
        <w:rPr>
          <w:rFonts w:ascii="Times New Roman" w:hAnsi="Times New Roman" w:eastAsia="宋体" w:cs="Times New Roman"/>
          <w:sz w:val="20"/>
          <w:szCs w:val="20"/>
        </w:rPr>
      </w:pPr>
      <w:r>
        <w:rPr>
          <w:rFonts w:hint="eastAsia" w:ascii="Times New Roman" w:hAnsi="Times New Roman" w:eastAsia="宋体" w:cs="Times New Roman"/>
          <w:sz w:val="20"/>
          <w:szCs w:val="20"/>
        </w:rPr>
        <w:t>高常青 博士 中南大学</w:t>
      </w:r>
    </w:p>
    <w:p w14:paraId="535305AA">
      <w:pPr>
        <w:spacing w:line="360" w:lineRule="auto"/>
        <w:ind w:firstLine="400" w:firstLineChars="200"/>
        <w:rPr>
          <w:rFonts w:ascii="Times New Roman" w:hAnsi="Times New Roman" w:eastAsia="宋体" w:cs="Times New Roman"/>
          <w:sz w:val="20"/>
          <w:szCs w:val="20"/>
        </w:rPr>
      </w:pPr>
      <w:r>
        <w:rPr>
          <w:rFonts w:hint="eastAsia" w:ascii="Times New Roman" w:hAnsi="Times New Roman" w:eastAsia="宋体" w:cs="Times New Roman"/>
          <w:sz w:val="20"/>
          <w:szCs w:val="20"/>
        </w:rPr>
        <w:t>自从2025年4月10日美国FDA发表“临床前安全实验中减少动物测试的路径”的报告以来，网上常见有人对此发表看法。新方法（New Approach Methodologies, NAMs）到底能否替代动物实验？新方法与动物实验到底是一种什么样的关系？实验动物的前途如何？报告人将详细解读FDA文件，从而回答上述问题。</w:t>
      </w:r>
    </w:p>
    <w:p w14:paraId="330D2D11">
      <w:pPr>
        <w:spacing w:line="360" w:lineRule="auto"/>
        <w:ind w:firstLine="400" w:firstLineChars="200"/>
        <w:rPr>
          <w:rFonts w:ascii="Times New Roman" w:hAnsi="Times New Roman" w:eastAsia="宋体" w:cs="Times New Roman"/>
          <w:sz w:val="20"/>
          <w:szCs w:val="20"/>
        </w:rPr>
      </w:pPr>
    </w:p>
    <w:p w14:paraId="1B86A4A5">
      <w:pPr>
        <w:spacing w:line="360" w:lineRule="auto"/>
        <w:ind w:firstLine="400" w:firstLineChars="200"/>
        <w:rPr>
          <w:rFonts w:ascii="Times New Roman" w:hAnsi="Times New Roman" w:eastAsia="宋体" w:cs="Times New Roman"/>
          <w:sz w:val="20"/>
          <w:szCs w:val="20"/>
        </w:rPr>
      </w:pPr>
      <w:r>
        <w:rPr>
          <w:rFonts w:hint="eastAsia" w:ascii="Times New Roman" w:hAnsi="Times New Roman" w:eastAsia="宋体" w:cs="Times New Roman"/>
          <w:sz w:val="20"/>
          <w:szCs w:val="20"/>
        </w:rPr>
        <w:t>冯丽萍，副研究员，上海实验动物研究中心</w:t>
      </w:r>
    </w:p>
    <w:p w14:paraId="1766FBA7">
      <w:pPr>
        <w:spacing w:line="360" w:lineRule="auto"/>
        <w:ind w:firstLine="400" w:firstLineChars="200"/>
        <w:rPr>
          <w:rFonts w:ascii="Times New Roman" w:hAnsi="Times New Roman" w:eastAsia="宋体" w:cs="Times New Roman"/>
          <w:sz w:val="20"/>
          <w:szCs w:val="20"/>
        </w:rPr>
      </w:pPr>
      <w:r>
        <w:rPr>
          <w:rFonts w:ascii="Times New Roman" w:hAnsi="Times New Roman" w:eastAsia="宋体" w:cs="Times New Roman"/>
          <w:sz w:val="20"/>
          <w:szCs w:val="20"/>
        </w:rPr>
        <w:t>血吸虫病肆虐人类数千年，东方田鼠是目前已知唯一具备100%日本血吸虫天然遗传抗性的哺乳动物，是解析宿主天然免疫防御的优质模型。本次汇报包含两大核心内容：</w:t>
      </w:r>
      <w:r>
        <w:rPr>
          <w:rFonts w:hint="eastAsia" w:ascii="Times New Roman" w:hAnsi="Times New Roman" w:eastAsia="宋体" w:cs="Times New Roman"/>
          <w:sz w:val="20"/>
          <w:szCs w:val="20"/>
        </w:rPr>
        <w:t>1.</w:t>
      </w:r>
      <w:r>
        <w:rPr>
          <w:rFonts w:ascii="Times New Roman" w:hAnsi="Times New Roman" w:eastAsia="宋体" w:cs="Times New Roman"/>
          <w:sz w:val="20"/>
          <w:szCs w:val="20"/>
        </w:rPr>
        <w:t>聚焦标准化资源创制——介绍我们团队如何从野外引种驯化，通过“两阶段代乳剖宫产”技术攻克生物净化难题，搭建完善质控体系，培育标准化封闭种群，获得国家级特色实验动物资源资质，筑牢抗性研究标准化科研平台；</w:t>
      </w:r>
      <w:r>
        <w:rPr>
          <w:rFonts w:hint="eastAsia" w:ascii="Times New Roman" w:hAnsi="Times New Roman" w:eastAsia="宋体" w:cs="Times New Roman"/>
          <w:sz w:val="20"/>
          <w:szCs w:val="20"/>
        </w:rPr>
        <w:t>2.</w:t>
      </w:r>
      <w:r>
        <w:rPr>
          <w:rFonts w:ascii="Times New Roman" w:hAnsi="Times New Roman" w:eastAsia="宋体" w:cs="Times New Roman"/>
          <w:sz w:val="20"/>
          <w:szCs w:val="20"/>
        </w:rPr>
        <w:t>聚焦多级防御机制解析——整合全球四十余年研究成果，系统拆解巨噬细胞、特异性杀虫抗体、特色白蛋白等构成的多级协同防御网络，全面解读自然演化形成的专属抗血吸虫免疫应答图谱。</w:t>
      </w:r>
    </w:p>
    <w:p w14:paraId="64D0E180">
      <w:pPr>
        <w:pStyle w:val="4"/>
        <w:spacing w:line="360" w:lineRule="auto"/>
        <w:jc w:val="both"/>
        <w:rPr>
          <w:rFonts w:hint="eastAsia" w:ascii="方正小标宋简体" w:hAnsi="微软雅黑" w:eastAsia="方正小标宋简体" w:cs="方正公文小标宋"/>
          <w:color w:val="auto"/>
          <w:kern w:val="2"/>
          <w:sz w:val="20"/>
          <w:szCs w:val="20"/>
        </w:rPr>
      </w:pPr>
    </w:p>
    <w:p w14:paraId="3C67CF4E">
      <w:pPr>
        <w:pStyle w:val="4"/>
        <w:spacing w:line="360" w:lineRule="auto"/>
        <w:ind w:firstLine="400" w:firstLineChars="200"/>
        <w:jc w:val="both"/>
        <w:rPr>
          <w:rFonts w:ascii="Times New Roman" w:hAnsi="Times New Roman" w:cs="Times New Roman"/>
          <w:color w:val="auto"/>
          <w:kern w:val="2"/>
          <w:sz w:val="20"/>
          <w:szCs w:val="20"/>
        </w:rPr>
      </w:pPr>
      <w:r>
        <w:rPr>
          <w:rFonts w:ascii="Times New Roman" w:hAnsi="Times New Roman" w:cs="Times New Roman"/>
          <w:color w:val="auto"/>
          <w:kern w:val="2"/>
          <w:sz w:val="20"/>
          <w:szCs w:val="20"/>
        </w:rPr>
        <w:t>Mr. Paul Littlefair. 英国皇家防止虐待动物协会</w:t>
      </w:r>
    </w:p>
    <w:p w14:paraId="7588BB13">
      <w:pPr>
        <w:pStyle w:val="4"/>
        <w:spacing w:line="360" w:lineRule="auto"/>
        <w:ind w:firstLine="400" w:firstLineChars="200"/>
        <w:jc w:val="both"/>
        <w:rPr>
          <w:rFonts w:hint="eastAsia" w:hAnsi="宋体"/>
          <w:color w:val="auto"/>
          <w:kern w:val="2"/>
          <w:sz w:val="20"/>
          <w:szCs w:val="20"/>
        </w:rPr>
      </w:pPr>
      <w:r>
        <w:rPr>
          <w:rFonts w:hint="eastAsia" w:hAnsi="宋体"/>
          <w:color w:val="auto"/>
          <w:kern w:val="2"/>
          <w:sz w:val="20"/>
          <w:szCs w:val="20"/>
        </w:rPr>
        <w:t>本讲座将阐述伦理委员会如何主动提升优化水平，提倡研究机构内动物福利。一个运作良好、资源充足的委员会是动物权益的重要倡导者，它可确保福利达到高标准，系统地减少动物痛苦，并确保所有研究都体现科学诚信和公开性。本次讲座将探讨如何界定一个目标明确、有效的伦理委员会的标准。这需要制定健全且透明的职权范围，以明确委员会的职责，确保可靠性，并建立公众信任。我们还将讨论全面监督战略的关键组成部分，包括严格的方案审查、批准后的积极监测，以及回顾性审查在改进未来工作中的作用。我们强调积极主动的实用方法，如对动物设施进行实地考察、与工作人员互动，以及对培训和专业发展进行有效监督。通过聚焦基于证据的决策和培养积极的关怀文化，伦理委员会可以在机构内推动动物福利标准持续提升和对科学研究的持续改进。</w:t>
      </w:r>
    </w:p>
    <w:p w14:paraId="43687E47">
      <w:bookmarkStart w:id="0" w:name="_GoBack"/>
      <w:bookmarkEnd w:id="0"/>
    </w:p>
    <w:sectPr>
      <w:pgSz w:w="11906" w:h="16839"/>
      <w:pgMar w:top="1418" w:right="1247" w:bottom="1361" w:left="1247"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公文小标宋">
    <w:altName w:val="微软雅黑"/>
    <w:panose1 w:val="00000000000000000000"/>
    <w:charset w:val="86"/>
    <w:family w:val="auto"/>
    <w:pitch w:val="default"/>
    <w:sig w:usb0="00000000" w:usb1="0000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yYWQ1YWQ4MGVjOTkxMTIzNzY2MGRhYmJkZWQzNjcifQ=="/>
  </w:docVars>
  <w:rsids>
    <w:rsidRoot w:val="3FCF0021"/>
    <w:rsid w:val="3FCF00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2026-07-03T05:48:00Z</dcterms:created>
  <dc:creator>景惠</dc:creator>
  <cp:lastModifiedBy>景惠</cp:lastModifiedBy>
  <dcterms:modified xsi:type="dcterms:W3CDTF">2026-07-03T05:48:44Z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C52201BF2C2843B49F2116C02C4EC6D6_11</vt:lpwstr>
  </property>
</Properties>
</file>