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B4AF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40" w:lineRule="exact"/>
        <w:rPr>
          <w:rFonts w:ascii="SimSong Bold" w:hAnsi="SimSong Bold" w:eastAsia="SimSong Bold" w:cs="SimSong Bold"/>
          <w:sz w:val="28"/>
          <w:szCs w:val="28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附件</w:t>
      </w:r>
      <w:r>
        <w:rPr>
          <w:rFonts w:ascii="SimSong Bold" w:hAnsi="SimSong Bold"/>
          <w:sz w:val="28"/>
          <w:szCs w:val="28"/>
          <w:lang w:eastAsia="zh-CN"/>
        </w:rPr>
        <w:t>3</w:t>
      </w:r>
      <w:r>
        <w:rPr>
          <w:rFonts w:hint="eastAsia" w:eastAsia="SimSong Bold"/>
          <w:sz w:val="28"/>
          <w:szCs w:val="28"/>
          <w:lang w:eastAsia="zh-CN"/>
        </w:rPr>
        <w:t>、关于授予继续教育学分的说明：</w:t>
      </w:r>
    </w:p>
    <w:p w14:paraId="714CB5CE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1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）所有学员如需要可申请中国实验动物学会学分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5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分。</w:t>
      </w:r>
    </w:p>
    <w:p w14:paraId="10BB3BEC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2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）在卫生系统 （医院及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CDC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等单位）工作的参会人员可申请国家医学继续教育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I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类学分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6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分，名额为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70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 xml:space="preserve">人。根据报名顺序，参会时长、报名信息完整度等情况综合考虑，额满为止。 </w:t>
      </w:r>
    </w:p>
    <w:p w14:paraId="2E27E80D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）在上海市卫生系统（医院及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CDC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等单位）工作的参会人员，可按需申请上海医学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II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类学分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分。但医学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I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类学分与上海医学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II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类学分不能同时申请。</w:t>
      </w:r>
    </w:p>
    <w:p w14:paraId="1FC65972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4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）由于学分授予名额有限，将根据报名者参会时长、报名信息完整度、在线考试交卷时间、考试成绩等情况综合考虑授予。</w:t>
      </w:r>
    </w:p>
    <w:p w14:paraId="3878A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ong Bold">
    <w:altName w:val="Times New Roman"/>
    <w:panose1 w:val="020207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1CC1"/>
    <w:rsid w:val="45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2025-09-26T03:00:00Z</dcterms:created>
  <dc:creator>景惠</dc:creator>
  <cp:lastModifiedBy>景惠</cp:lastModifiedBy>
  <dcterms:modified xsi:type="dcterms:W3CDTF">2025-09-26T03:00:46Z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05B9046429D64D569904C87CFD06660F_11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