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附件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3</w:t>
      </w:r>
    </w:p>
    <w:p>
      <w:pPr>
        <w:autoSpaceDE w:val="0"/>
        <w:autoSpaceDN w:val="0"/>
        <w:adjustRightInd w:val="0"/>
        <w:spacing w:before="1"/>
        <w:jc w:val="center"/>
        <w:rPr>
          <w:rFonts w:ascii="Times New Roman" w:hAnsi="Times New Roman" w:eastAsia="宋体" w:cs="Times New Roman"/>
          <w:b/>
          <w:kern w:val="0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b/>
          <w:color w:val="000000"/>
          <w:w w:val="99"/>
          <w:kern w:val="0"/>
          <w:sz w:val="30"/>
          <w:szCs w:val="30"/>
          <w:highlight w:val="none"/>
        </w:rPr>
        <w:t>中国实验动物学会实验动物模型研发报告</w:t>
      </w:r>
    </w:p>
    <w:p>
      <w:pPr>
        <w:widowControl/>
        <w:jc w:val="left"/>
        <w:rPr>
          <w:rFonts w:ascii="Times New Roman" w:hAnsi="Times New Roman" w:eastAsia="宋体" w:cs="宋体"/>
          <w:color w:val="000000"/>
          <w:kern w:val="0"/>
          <w:sz w:val="24"/>
          <w:szCs w:val="24"/>
          <w:highlight w:val="none"/>
        </w:rPr>
      </w:pPr>
    </w:p>
    <w:tbl>
      <w:tblPr>
        <w:tblStyle w:val="4"/>
        <w:tblW w:w="90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8"/>
        <w:gridCol w:w="1010"/>
        <w:gridCol w:w="2400"/>
        <w:gridCol w:w="3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实验动物模型名称（中、英文）</w:t>
            </w:r>
          </w:p>
        </w:tc>
        <w:tc>
          <w:tcPr>
            <w:tcW w:w="6571" w:type="dxa"/>
            <w:gridSpan w:val="3"/>
            <w:shd w:val="clear" w:color="auto" w:fill="auto"/>
          </w:tcPr>
          <w:p>
            <w:pP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肠道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CCKBR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基因特异性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敲除小鼠高盐饮食诱导盐敏感性高血压模型</w:t>
            </w:r>
          </w:p>
          <w:p>
            <w:pPr>
              <w:autoSpaceDE w:val="0"/>
              <w:autoSpaceDN w:val="0"/>
              <w:adjustRightInd w:val="0"/>
              <w:spacing w:before="104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Intestinal-specific 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CCKBR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nockout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Mice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With High Salt Diet Induced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Salt-sensitive Hypertension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odel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申请人（单位）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名称</w:t>
            </w:r>
          </w:p>
        </w:tc>
        <w:tc>
          <w:tcPr>
            <w:tcW w:w="6571" w:type="dxa"/>
            <w:gridSpan w:val="3"/>
            <w:shd w:val="clear" w:color="auto" w:fill="auto"/>
          </w:tcPr>
          <w:p>
            <w:pPr>
              <w:autoSpaceDE w:val="0"/>
              <w:autoSpaceDN w:val="0"/>
              <w:adjustRightInd w:val="0"/>
              <w:spacing w:before="104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中国医学科学院医学实验动物研究所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研究机构（人）地址</w:t>
            </w:r>
          </w:p>
        </w:tc>
        <w:tc>
          <w:tcPr>
            <w:tcW w:w="6571" w:type="dxa"/>
            <w:gridSpan w:val="3"/>
            <w:shd w:val="clear" w:color="auto" w:fill="auto"/>
          </w:tcPr>
          <w:p>
            <w:pPr>
              <w:autoSpaceDE w:val="0"/>
              <w:autoSpaceDN w:val="0"/>
              <w:adjustRightInd w:val="0"/>
              <w:spacing w:before="104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北京市朝阳区潘家园南里5号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研究机构（人）电话</w:t>
            </w:r>
          </w:p>
        </w:tc>
        <w:tc>
          <w:tcPr>
            <w:tcW w:w="6571" w:type="dxa"/>
            <w:gridSpan w:val="3"/>
            <w:shd w:val="clear" w:color="auto" w:fill="auto"/>
          </w:tcPr>
          <w:p>
            <w:pPr>
              <w:autoSpaceDE w:val="0"/>
              <w:autoSpaceDN w:val="0"/>
              <w:adjustRightInd w:val="0"/>
              <w:spacing w:before="104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010-67776809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主要参与人员及单位</w:t>
            </w:r>
          </w:p>
        </w:tc>
        <w:tc>
          <w:tcPr>
            <w:tcW w:w="6571" w:type="dxa"/>
            <w:gridSpan w:val="3"/>
            <w:shd w:val="clear" w:color="auto" w:fill="auto"/>
          </w:tcPr>
          <w:p>
            <w:pPr>
              <w:autoSpaceDE w:val="0"/>
              <w:autoSpaceDN w:val="0"/>
              <w:adjustRightInd w:val="0"/>
              <w:spacing w:before="104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杨志伟 中国医学科学院医学实验动物研究所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研究起止日期</w:t>
            </w:r>
          </w:p>
        </w:tc>
        <w:tc>
          <w:tcPr>
            <w:tcW w:w="6571" w:type="dxa"/>
            <w:gridSpan w:val="3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firstLine="600" w:firstLineChars="250"/>
              <w:jc w:val="center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2019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年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月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    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至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2022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年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12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原始资料的保存地点</w:t>
            </w:r>
          </w:p>
        </w:tc>
        <w:tc>
          <w:tcPr>
            <w:tcW w:w="6571" w:type="dxa"/>
            <w:gridSpan w:val="3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中国医学科学院医学实验动物研究所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exact"/>
          <w:jc w:val="center"/>
        </w:trPr>
        <w:tc>
          <w:tcPr>
            <w:tcW w:w="249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left="2866" w:right="854" w:hanging="2865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联系人姓名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杨志伟</w:t>
            </w:r>
          </w:p>
        </w:tc>
        <w:tc>
          <w:tcPr>
            <w:tcW w:w="240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left="2866" w:right="854" w:hanging="2865"/>
              <w:jc w:val="left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电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话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ind w:left="2866" w:right="854" w:hanging="2865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13910332067</w:t>
            </w:r>
          </w:p>
        </w:tc>
        <w:tc>
          <w:tcPr>
            <w:tcW w:w="3161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left="2866" w:right="854" w:hanging="2865"/>
              <w:jc w:val="left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邮箱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ind w:left="2866" w:right="854" w:hanging="2865"/>
              <w:jc w:val="left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yangzhiwei@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ind w:left="2866" w:right="854" w:hanging="2865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cnilas.pumc.edu.cn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3" w:hRule="atLeast"/>
          <w:jc w:val="center"/>
        </w:trPr>
        <w:tc>
          <w:tcPr>
            <w:tcW w:w="9069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摘要（简述研究的目的和意义，主要造模方法，与临床的相似度及评价方法，概述模型的创新点和应用价值）</w:t>
            </w:r>
          </w:p>
          <w:p>
            <w:pPr>
              <w:numPr>
                <w:ilvl w:val="0"/>
                <w:numId w:val="0"/>
              </w:numP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</w:p>
          <w:p>
            <w:pPr>
              <w:numPr>
                <w:ilvl w:val="255"/>
                <w:numId w:val="0"/>
              </w:numP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目的和意义：</w:t>
            </w:r>
          </w:p>
          <w:p>
            <w:pPr>
              <w:numPr>
                <w:ilvl w:val="255"/>
                <w:numId w:val="0"/>
              </w:numPr>
              <w:ind w:firstLine="480" w:firstLineChars="200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实验动物模型是盐敏感性高血压（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salt sensitive hypertension, SSH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发病机制研究和药物开发的重要工具，但目前还没有合适的SSH小鼠模型，本模型旨在建立一个稳定的、可遗传的盐敏感性高血压小鼠模型。</w:t>
            </w:r>
          </w:p>
          <w:p>
            <w:pPr>
              <w:numPr>
                <w:ilvl w:val="255"/>
                <w:numId w:val="0"/>
              </w:numP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主要造模方法：</w:t>
            </w:r>
          </w:p>
          <w:p>
            <w:pPr>
              <w:numPr>
                <w:ilvl w:val="255"/>
                <w:numId w:val="0"/>
              </w:numPr>
              <w:ind w:firstLine="480" w:firstLineChars="200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使用CRISPR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Cas9与floxp-Cre系统构建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villin Cre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基因编辑小鼠，高盐饲喂（4%NaCl）6周诱导形成盐敏感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性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高血压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小鼠模型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。</w:t>
            </w:r>
          </w:p>
          <w:p>
            <w:pPr>
              <w:numPr>
                <w:ilvl w:val="255"/>
                <w:numId w:val="0"/>
              </w:numP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临床的相似度：</w:t>
            </w:r>
          </w:p>
          <w:p>
            <w:pPr>
              <w:numPr>
                <w:ilvl w:val="255"/>
                <w:numId w:val="0"/>
              </w:numPr>
              <w:ind w:firstLine="480" w:firstLineChars="200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高盐饲喂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villin 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小鼠6周能够构建稳定的盐敏感高血压模型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。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该模型伴随盐摄入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表现出稳定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的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血压升高和尿钠排泄增加，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且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伴有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肾脏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纤维化和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损伤。氢氯噻嗪治疗可显著降低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由高盐饲喂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诱导的血压升高。</w:t>
            </w:r>
          </w:p>
          <w:p>
            <w:pPr>
              <w:numPr>
                <w:ilvl w:val="255"/>
                <w:numId w:val="0"/>
              </w:numP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评价方法：</w:t>
            </w:r>
          </w:p>
          <w:p>
            <w:pPr>
              <w:numPr>
                <w:ilvl w:val="255"/>
                <w:numId w:val="0"/>
              </w:numPr>
              <w:ind w:firstLine="480" w:firstLineChars="200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通过植入子持续检测小鼠清醒状态血压，并用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EMKA分析动态血压心率均值、24 h血压心率趋势等指标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；收集血清，尿液及回肠段检测RA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A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S系统活性及Na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排泄量；采集小肠肠段进行钠转运体检测；检测肾脏和心脏相关损伤指标。</w:t>
            </w:r>
          </w:p>
          <w:p>
            <w:pP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创新点及应用价值：</w:t>
            </w:r>
          </w:p>
          <w:p>
            <w:pPr>
              <w:ind w:firstLine="480" w:firstLineChars="200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villin Cre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小鼠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高盐诱导模型是一种新型盐敏感性高血压模型，该模型能够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最大限度地模拟人类盐敏高血压的临床表型，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优化C57BL/6J小鼠不稳定的盐敏感性等缺陷。证实了肠道Na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吸收在机体钠离子稳态和盐敏感性高血压中的重要作用。该模型适用于肠道Na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吸收异常导致SSH的机制研究和药物筛选。</w:t>
            </w:r>
          </w:p>
          <w:p>
            <w:pPr>
              <w:numPr>
                <w:ilvl w:val="255"/>
                <w:numId w:val="0"/>
              </w:numP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研究报告正文（可以附件形式编制，编制要点附后）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动物模型命名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肠道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CCKBR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基因特异性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敲除小鼠高盐饮食诱导盐敏感性高血压模型</w:t>
            </w:r>
          </w:p>
          <w:p>
            <w:pPr>
              <w:autoSpaceDE w:val="0"/>
              <w:autoSpaceDN w:val="0"/>
              <w:adjustRightInd w:val="0"/>
              <w:spacing w:before="104"/>
              <w:rPr>
                <w:rFonts w:ascii="Times New Roman" w:hAnsi="Times New Roman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Intestinal-specific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CCKBR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nockout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Mice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With High Salt Diet Induced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Salt-sensitive Hypertension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odel</w:t>
            </w:r>
          </w:p>
          <w:p>
            <w:pPr>
              <w:autoSpaceDE w:val="0"/>
              <w:autoSpaceDN w:val="0"/>
              <w:adjustRightInd w:val="0"/>
              <w:spacing w:before="104"/>
              <w:jc w:val="center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</w:p>
          <w:p>
            <w:pPr>
              <w:autoSpaceDE w:val="0"/>
              <w:autoSpaceDN w:val="0"/>
              <w:adjustRightInd w:val="0"/>
              <w:spacing w:before="104"/>
              <w:jc w:val="left"/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研究背景</w:t>
            </w:r>
          </w:p>
          <w:p>
            <w:pPr>
              <w:autoSpaceDE w:val="0"/>
              <w:autoSpaceDN w:val="0"/>
              <w:adjustRightInd w:val="0"/>
              <w:spacing w:before="104"/>
              <w:jc w:val="left"/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1.目的及意义</w:t>
            </w:r>
          </w:p>
          <w:p>
            <w:pPr>
              <w:autoSpaceDE w:val="0"/>
              <w:autoSpaceDN w:val="0"/>
              <w:adjustRightInd w:val="0"/>
              <w:spacing w:before="104"/>
              <w:ind w:firstLine="480" w:firstLineChars="200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本模型旨在建立一个稳定的、可遗传的盐敏感性高血压小鼠模型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为盐敏感型高血压机制研究和药物研发提供理想工具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。</w:t>
            </w:r>
          </w:p>
          <w:p>
            <w:pPr>
              <w:autoSpaceDE w:val="0"/>
              <w:autoSpaceDN w:val="0"/>
              <w:adjustRightInd w:val="0"/>
              <w:spacing w:before="104"/>
              <w:jc w:val="left"/>
              <w:rPr>
                <w:rFonts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2.国内外研究现状</w:t>
            </w:r>
          </w:p>
          <w:p>
            <w:pPr>
              <w:autoSpaceDE w:val="0"/>
              <w:autoSpaceDN w:val="0"/>
              <w:adjustRightInd w:val="0"/>
              <w:spacing w:before="104"/>
              <w:ind w:firstLine="480" w:firstLineChars="200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高血压是一种多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因素诱导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的心血管疾病，由环境，基因和行为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等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因素相互作用导致。其中Na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的过量摄入是造成高血压的一个重要环境因素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[1]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。盐敏感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性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高血压是由于Na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的摄入导致血压升高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&gt;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5mmHg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其人数约占全部高血压患者的50%～60%[2]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与盐抵抗性高血压相比，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盐敏感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性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高血压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的发展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与卒中、心衰等多种疾病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更加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相关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， 其并发症严重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影响患者生活质量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[3]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</w:t>
            </w:r>
          </w:p>
          <w:p>
            <w:pPr>
              <w:autoSpaceDE w:val="0"/>
              <w:autoSpaceDN w:val="0"/>
              <w:adjustRightInd w:val="0"/>
              <w:spacing w:before="104"/>
              <w:ind w:firstLine="480" w:firstLineChars="200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实验动物是研究疾病机制和药物开发中的重要工具。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Dahl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盐敏感大鼠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是目前研究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盐敏感高血压对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肾脏、血管和遗传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影响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最经典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的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小动物模型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[4]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与大鼠相比，小鼠因其体形小，饲养和质量控制容易且易于进行基因编辑而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更加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广泛应用于各种疾病模型建立。在盐敏感高血压的相关研究中，虽然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有报道认为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C57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BL/6J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有一定的盐敏感性，但高盐诱导后其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血压升高的幅度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不稳定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且不显著[5]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另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一些基因编辑小鼠能表现出与肾脏Na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重吸收相关的盐敏感高血压表型，但无法全面表现出盐敏感高血压的表型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[6]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。因此建立一种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能够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全面模拟盐敏感高血压表型的小鼠模型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迫在眉睫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</w:t>
            </w:r>
          </w:p>
          <w:p>
            <w:pPr>
              <w:autoSpaceDE w:val="0"/>
              <w:autoSpaceDN w:val="0"/>
              <w:adjustRightInd w:val="0"/>
              <w:spacing w:before="104"/>
              <w:ind w:firstLine="480" w:firstLineChars="200"/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在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哺乳动物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中， 循环系统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对Na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的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过滤和重吸收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主要依靠肾脏，但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食物来源的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主要由肠道吸收，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但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肠道Na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异常吸收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诱导的动物模型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鲜有提及。肠道中刷状绒毛中的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Na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/H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转运体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NHE3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是Na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吸收的主要途径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[7,8]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。有证据表明，选择性删除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可通过刺激NHE3活性和转运，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从而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增加高盐饮食喂养的小鼠的血压和钠排泄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[9]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。全基因组关联性研究指出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  <w:t>与人类高血压相关，同时</w:t>
            </w:r>
            <w:r>
              <w:rPr>
                <w:rFonts w:hint="eastAsia"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  <w:t>全敲小鼠也表现出盐敏感高血压的特征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  <w:lang w:val="en-US" w:eastAsia="zh-CN"/>
              </w:rPr>
              <w:t>[10]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  <w:t>。因此，推测肠道中的</w:t>
            </w:r>
            <w:r>
              <w:rPr>
                <w:rFonts w:hint="eastAsia"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r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  <w:t>可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  <w:lang w:val="en-US" w:eastAsia="zh-CN"/>
              </w:rPr>
              <w:t>能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  <w:t>是构建盐敏感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  <w:lang w:val="en-US" w:eastAsia="zh-CN"/>
              </w:rPr>
              <w:t>性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  <w:t>高血压小鼠模型的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  <w:lang w:val="en-US" w:eastAsia="zh-CN"/>
              </w:rPr>
              <w:t>关键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  <w:t>目标位点。</w:t>
            </w:r>
            <w:r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  <w:lang w:val="en-US" w:eastAsia="zh-CN"/>
              </w:rPr>
              <w:t>经验证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villin Cre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小鼠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高盐诱导模型是一种新型盐敏感性高血压模型，该模型能够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最大限度地模拟人类盐敏高血压的临床表型，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优化C57BL/6J小鼠不稳定的盐敏感性等缺陷。证实了肠道Na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吸收在机体钠离子稳态和盐敏感性高血压中的重要作用。该模型适用于肠道Na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吸收异常导致SSH的机制研究和药物筛选。</w:t>
            </w:r>
          </w:p>
          <w:p>
            <w:pPr>
              <w:autoSpaceDE w:val="0"/>
              <w:autoSpaceDN w:val="0"/>
              <w:adjustRightInd w:val="0"/>
              <w:spacing w:before="104"/>
              <w:rPr>
                <w:rFonts w:hint="eastAsia" w:ascii="Times New Roman" w:hAnsi="Times New Roman" w:eastAsia="宋体" w:cs="Times New Roman"/>
                <w:b/>
                <w:bCs/>
                <w:i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Cs/>
                <w:kern w:val="0"/>
                <w:sz w:val="24"/>
                <w:szCs w:val="24"/>
                <w:highlight w:val="none"/>
                <w:lang w:val="en-US" w:eastAsia="zh-CN"/>
              </w:rPr>
              <w:t>参考文献：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Kawarazaki W, Fujita T. Kidney and epigenetic mechanisms of salt-sensitive hypertension. Nat Rev Nephrol 2021; 17: 350−363.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2] 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Weinberger MH. Salt sensitivity of blood pressure in humans. Hypertension 1996; 27: 481−490.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] Luzardo L, Noboa O, Boggia J. Mechanisms of salt-sensitive hypertension. Curr Hypertens Rev 2015; 11: 14− 21.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] Joe B. Dr Lewis Kitchener Dahl, the Dahl rats, and the 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"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inconvenient truth 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"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about the genetics of hyperten- sion. Hypertension 2015; 65: 963−969. Lerman LO, Kurtz TW, Touyz RM, et al.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[5]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Animal models of hypertension: a scientific statement from the american heart association. Hypertension 2019; 73: e87− e120.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] Fenton RA, Poulsen SB, Mora-Chavez S, et al. Caffeineinduced diuresis and natriuresis is independent of renal tubular NHE3. Am J Physiol Renal Physiol 2015; 308: F1409−F1420.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] Bookstein C, DePaoli MA, Xie Y, et al. Na+/H+ exchangers, NHE-1 and NHE-3, of rat intestine. Expression and localization. J Clin Invest 1994; 93: 106−113.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] Chen T, Hubbard A, Murtazina R, et al. Myosin VI mediates the movement of NHE3 down the microvillus in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intestinal epithelial cells. J Cell Sci 2014; 127(Pt 16): 3535-3545.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] Jiang XL, Liu YP, Zhang XY, et al. Intestinal Gastrin/ CCKBR (Cholecystokinin B Receptor) ameliorates saltsensitive hypertension by inhibiting intestinal Na(+)/ H(+) exchanger 3 activity through a PKC (Protein Kinase C)-mediated NHERF1 and NHERF2 Pathway. Hypertension 2022; 79: 1668−1679.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default" w:ascii="Times New Roman" w:hAnsi="Times New Roman" w:eastAsia="CharisSIL" w:cs="Times New Roman"/>
                <w:color w:val="000000" w:themeColor="text1"/>
                <w:kern w:val="0"/>
                <w:sz w:val="20"/>
                <w:szCs w:val="20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] Rankinen T, An P, Rice T, et al. Genomic scan for exercise blood pressure in the Health, Risk Factors, Exercise Training and Genetics (HERITAGE) Family Study. Hypertension 2001; 38: 30−37.</w:t>
            </w:r>
          </w:p>
          <w:p>
            <w:pPr>
              <w:autoSpaceDE w:val="0"/>
              <w:autoSpaceDN w:val="0"/>
              <w:adjustRightInd w:val="0"/>
              <w:spacing w:before="104"/>
              <w:rPr>
                <w:rFonts w:hint="eastAsia" w:ascii="Times New Roman" w:hAnsi="Times New Roman" w:eastAsia="宋体" w:cs="Times New Roman"/>
                <w:iCs/>
                <w:kern w:val="0"/>
                <w:sz w:val="24"/>
                <w:szCs w:val="24"/>
                <w:highlight w:val="none"/>
              </w:rPr>
            </w:pPr>
          </w:p>
          <w:p>
            <w:pPr>
              <w:autoSpaceDE w:val="0"/>
              <w:autoSpaceDN w:val="0"/>
              <w:adjustRightInd w:val="0"/>
              <w:spacing w:before="104"/>
              <w:rPr>
                <w:rFonts w:ascii="Times New Roman" w:hAnsi="Times New Roman" w:eastAsia="宋体" w:cs="Times New Roman"/>
                <w:b/>
                <w:bCs/>
                <w:iCs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Cs/>
                <w:kern w:val="0"/>
                <w:sz w:val="24"/>
                <w:szCs w:val="24"/>
                <w:highlight w:val="none"/>
              </w:rPr>
              <w:t>动物模型制备方法</w:t>
            </w:r>
          </w:p>
          <w:p>
            <w:pPr>
              <w:pStyle w:val="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04"/>
              <w:ind w:firstLineChars="0"/>
              <w:rPr>
                <w:rFonts w:ascii="Times New Roman" w:hAnsi="Times New Roman" w:eastAsia="宋体" w:cs="Times New Roman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 w:val="0"/>
                <w:bCs w:val="0"/>
                <w:kern w:val="0"/>
                <w:sz w:val="24"/>
                <w:szCs w:val="24"/>
                <w:highlight w:val="none"/>
              </w:rPr>
              <w:t>villin-cre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4"/>
                <w:szCs w:val="24"/>
                <w:highlight w:val="none"/>
              </w:rPr>
              <w:t>小鼠构建：</w:t>
            </w: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begin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instrText xml:space="preserve"> = 1 \* GB3 \* MERGEFORMAT </w:instrTex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separate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①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end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分析CCKBR的基因信息，在NCBI 找出其mRNA为 NM_016981，选择将外显子Exon1用loxP序列锚定上。</w:t>
            </w: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begin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instrText xml:space="preserve"> = 2 \* GB3 \* MERGEFORMAT </w:instrTex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separate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②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end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在exon1后面的内含子寻找合适的gRNA序列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5’gcttacttggagctgagtGGG3’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）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分析确定后合成序列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使用MEGA shortscript™ T7 Kit（Life Technologies）试剂盒完成转录。</w:t>
            </w: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begin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instrText xml:space="preserve"> = 3 \* GB3 \* MERGEFORMAT </w:instrTex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separate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③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end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Cas9通过mGE mMACHINE® T7 ULTRA Kit（Life Technologies）试剂盒完成转录。</w:t>
            </w: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begin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instrText xml:space="preserve"> = 4 \* GB3 \* MERGEFORMAT </w:instrTex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separate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④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end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将gRNA和Cas9体外转录出的RNA及打靶载体一起注射到受精卵中，移植到假孕母鼠，出生后进行PCR鉴定，测序确定loxP序列锚定成功的小鼠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Times New Roman" w:hAnsi="Times New Roman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选择只在一条染色体上锚定成功的小鼠进行繁殖，子代间交配</w:t>
            </w:r>
            <w:r>
              <w:rPr>
                <w:rFonts w:ascii="Times New Roman" w:hAnsi="Times New Roman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，即</w:t>
            </w:r>
            <w:r>
              <w:rPr>
                <w:rFonts w:hint="eastAsia" w:ascii="Times New Roman" w:hAnsi="Times New Roman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可筛选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得到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小鼠。</w:t>
            </w: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begin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instrText xml:space="preserve"> = 5 \* GB3 \* MERGEFORMAT </w:instrTex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separate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⑤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fldChar w:fldCharType="end"/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将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小鼠与带有肠道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上皮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细胞特异性Cre的小鼠（villin Cre）交配繁殖，Cre介导两个loxP位点序列的重组，引起两个loxP位点间的DNA序列缺失，从而制备出肠道特异CCKBR基因敲除的小鼠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villin Cre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）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，而该基因在其他组织和细胞中表达正常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（思路图见下）</w:t>
            </w: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2735580" cy="1664335"/>
                  <wp:effectExtent l="0" t="0" r="7620" b="2540"/>
                  <wp:docPr id="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 w:val="0"/>
              <w:autoSpaceDN w:val="0"/>
              <w:adjustRightInd w:val="0"/>
              <w:spacing w:before="1"/>
              <w:ind w:firstLine="720" w:firstLineChars="300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villin Cre小鼠设计思路图</w:t>
            </w:r>
          </w:p>
          <w:p>
            <w:pPr>
              <w:pStyle w:val="8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"/>
              <w:ind w:firstLineChars="0"/>
              <w:jc w:val="left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高盐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诱导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盐敏感性高血压模型构建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使用高盐（4%氯化钠）饲料持续饲喂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flox/flox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villin Cre小鼠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6周，诱导形成盐敏感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性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高血压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表型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。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szCs w:val="24"/>
                <w:highlight w:val="none"/>
              </w:rPr>
              <w:t>动物模型评价与验证</w:t>
            </w: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一、模型评价指标：</w:t>
            </w:r>
          </w:p>
          <w:p>
            <w:pPr>
              <w:pStyle w:val="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"/>
              <w:ind w:firstLineChars="0"/>
              <w:jc w:val="left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基因型鉴定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剪取新生小鼠鼠尾组织，盐析法提取DNA，使用KOD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FX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（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TOYOBO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）对鼠尾DNA进行扩增鉴定，</w:t>
            </w:r>
          </w:p>
          <w:p>
            <w:pPr>
              <w:pStyle w:val="8"/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loxp鉴定引物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 xml:space="preserve">为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F：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 xml:space="preserve">TGGCAGAGTGGAGGAGTA </w:t>
            </w:r>
          </w:p>
          <w:p>
            <w:pPr>
              <w:pStyle w:val="8"/>
              <w:autoSpaceDE w:val="0"/>
              <w:autoSpaceDN w:val="0"/>
              <w:adjustRightInd w:val="0"/>
              <w:spacing w:before="1"/>
              <w:ind w:left="360" w:firstLine="1920" w:firstLineChars="800"/>
              <w:jc w:val="left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R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eastAsia="zh-CN"/>
              </w:rPr>
              <w:t>: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GGTTCAGCTTGAGCAGAT</w:t>
            </w:r>
          </w:p>
          <w:p>
            <w:pPr>
              <w:pStyle w:val="8"/>
              <w:autoSpaceDE w:val="0"/>
              <w:autoSpaceDN w:val="0"/>
              <w:adjustRightInd w:val="0"/>
              <w:spacing w:before="1"/>
              <w:ind w:left="0" w:leftChars="0" w:firstLine="480" w:firstLineChars="20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Cre鉴定引物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 xml:space="preserve">为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F: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 xml:space="preserve"> GTGTGGGACAGAGAACAAACCG</w:t>
            </w:r>
          </w:p>
          <w:p>
            <w:pPr>
              <w:pStyle w:val="8"/>
              <w:autoSpaceDE w:val="0"/>
              <w:autoSpaceDN w:val="0"/>
              <w:adjustRightInd w:val="0"/>
              <w:spacing w:before="1"/>
              <w:ind w:left="0" w:leftChars="0" w:firstLine="2160" w:firstLineChars="90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R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eastAsia="zh-CN"/>
              </w:rPr>
              <w:t>: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TGCGAACCTCATCACTCGTTGC</w:t>
            </w:r>
          </w:p>
          <w:p>
            <w:pPr>
              <w:pStyle w:val="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"/>
              <w:ind w:firstLineChars="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小鼠清醒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状态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血压监测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小鼠麻醉后切除左侧肾脏的同时，进行PA-C20植入子植入手术：颈部2cm切口，在胸部皮下创建能够容纳植入子的足够空间，左颈动脉切口，小心将感应导管插入左颈动脉并固定，缝合肌肉同时将植入子固定于周围肌肉和组织处防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止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导管尖端移位，最后缝合皮肤，保持锚定缝合孔朝外再次固定。手术完成恢复7天后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，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用遥测系统进行24 h连续清醒无束缚的血压监测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 xml:space="preserve"> 并用EMKA分析软件对动态血压心率均值、24 h血压心率趋势等指标进行分析。</w:t>
            </w:r>
          </w:p>
          <w:p>
            <w:pPr>
              <w:pStyle w:val="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"/>
              <w:ind w:firstLineChars="0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RAAS系统活性及Na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排泄检测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模型小鼠血清和尿液中的电解质（钠、钾、氯）、肌酐、高血压激素（肾素、血管紧张素II和醛固酮）均采用ELISA试剂盒进行检测。离体检测通过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分离5cm长的回肠（盲肠上方约5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—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10cm处），取出后静止于生理盐水中将两端冲洗10分钟。随后给予预热的灌注液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1ml/min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，0.5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小时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收集肠道溶液检测肠腔和肠上皮细胞中Na含量。</w:t>
            </w:r>
          </w:p>
          <w:p>
            <w:pPr>
              <w:pStyle w:val="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"/>
              <w:ind w:firstLineChars="0"/>
              <w:jc w:val="left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小肠钠转运体检测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取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小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肠段，提取上皮刷状缘膜蛋白，免疫印迹方法检测细胞顶膜NHE3的表达量，提取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小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肠段总蛋白，检测NHE3总蛋白的表达量；将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小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肠组织立即放入液氮或4%福尔马林固定，免疫荧光方法检测NHE3与F-actin（刷状缘膜marker）共定位。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WB检测多个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小肠钠转运体（NKCC1、eNaC）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的表达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。</w:t>
            </w:r>
          </w:p>
          <w:p>
            <w:pPr>
              <w:pStyle w:val="8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"/>
              <w:ind w:firstLineChars="0"/>
              <w:jc w:val="left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靶器官损伤测定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通过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免疫印迹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Tanon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5500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masson 染色（（Huige biotechnology Co., Ltd, Beijing,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China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）。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免疫组化技术检测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器官损伤标志物（MMP2/MMP9）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在肾脏和心脏的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变化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。通过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ELISA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  <w:t>方法检测血浆中各项指标：心功能（CK、CK-MB）肾功能</w:t>
            </w:r>
            <w:r>
              <w:rPr>
                <w:rFonts w:hint="default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 xml:space="preserve"> (Xinfan biotechnology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Shanghai,  China)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360" w:leftChars="0" w:hanging="360" w:firstLineChars="0"/>
              <w:jc w:val="left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试剂耗材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抗-NHE-3 (sc-136368), ENaC (sc-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25354)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,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Villin (sc-58897)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抗体来自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Santa Cruz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公司（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Biotechnology Inc.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抗-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NKCC1 (13884-1-AP), Fibronectin 1 (66042-1-Ig), GAPDH (60004-1-Ig)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抗体购自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Proteintech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公司。蛋白浓度检测使用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BCA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测定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Kit (P0010)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购自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Beyotime Biotech Inc (China).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钠离子检测试剂盒（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MAK247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购自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Sigma Aldrich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公司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(USA)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。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hint="eastAsia" w:ascii="Times New Roman" w:hAnsi="Times New Roman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"/>
              <w:ind w:leftChars="0"/>
              <w:jc w:val="left"/>
              <w:rPr>
                <w:rFonts w:hint="eastAsia"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二、模型验证：</w:t>
            </w:r>
          </w:p>
          <w:p>
            <w:pPr>
              <w:widowControl/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CCKBR小鼠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基因型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鉴定</w:t>
            </w:r>
            <w:r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  <w:t xml:space="preserve"> </w:t>
            </w:r>
          </w:p>
          <w:p>
            <w:pPr>
              <w:widowControl/>
              <w:ind w:firstLine="480" w:firstLineChars="200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hint="eastAsia" w:ascii="Times New Roman" w:hAnsi="Times New Roman" w:eastAsia="宋体" w:cs="宋体"/>
                <w:i/>
                <w:iCs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小鼠出生2周后，剪鼠尾，提取基因组DNA进行PCR测序检测小鼠基因型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使用CCKBR鉴定引物对插入的loxp序列进行PCR扩增，确定loxp基因插入情况，同时使用vilin-cre引物对cre基因插入情况进行PCR扩增鉴定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结果显示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上下游的两段loxp序列PCR产物均只有一条大于野生型的条带，表明敲除序列上下游loxp序列插入成功，同时小鼠为纯合子。vilin-cre序列扩增出一条377 bp左右条带，野生对照没有条带，表明该小鼠带有vilin-cre基因序列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见图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。综合上述结果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可判断此小鼠符合实验所需基因型要求，可进行下一步实验。</w:t>
            </w:r>
          </w:p>
          <w:p>
            <w:pPr>
              <w:widowControl/>
              <w:ind w:firstLine="420" w:firstLineChars="200"/>
              <w:jc w:val="center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drawing>
                <wp:inline distT="0" distB="0" distL="0" distR="0">
                  <wp:extent cx="2945765" cy="1696720"/>
                  <wp:effectExtent l="0" t="0" r="0" b="825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169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highlight w:val="none"/>
              </w:rPr>
              <w:t>图1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基因型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鉴定结果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注：Loxp1为上游插入loxp序列，loxp2为下游插入loxp序列，cre为vilin-cre序列，Y为野生型对照，C为空白对照</w:t>
            </w:r>
          </w:p>
          <w:p>
            <w:pPr>
              <w:widowControl/>
              <w:rPr>
                <w:rFonts w:ascii="Times New Roman" w:hAnsi="Times New Roman" w:eastAsia="宋体" w:cs="Times New Roman"/>
                <w:b/>
                <w:bCs/>
                <w:szCs w:val="21"/>
                <w:highlight w:val="none"/>
              </w:rPr>
            </w:pPr>
          </w:p>
          <w:p>
            <w:pPr>
              <w:widowControl/>
              <w:numPr>
                <w:ilvl w:val="0"/>
                <w:numId w:val="4"/>
              </w:numPr>
              <w:rPr>
                <w:rFonts w:hint="eastAsia"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CCKBR小鼠的肠道CCKBR表达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缺失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  <w:highlight w:val="none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ind w:firstLine="480" w:firstLineChars="200"/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Western-blot显示，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在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CCKBR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小鼠的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十二指肠、空肠和回肠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中，其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CCKBR均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表达缺失（</w:t>
            </w:r>
            <w:r>
              <w:rPr>
                <w:rFonts w:hint="eastAsia" w:ascii="Times New Roman" w:hAnsi="Times New Roman" w:eastAsia="宋体" w:cs="Times New Roman"/>
                <w:i/>
                <w:sz w:val="24"/>
                <w:szCs w:val="24"/>
                <w:highlight w:val="none"/>
              </w:rPr>
              <w:t>P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&lt;0.05）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2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及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B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；而在该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小鼠肾脏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中，其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CCKBR的表达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与野生型小鼠无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明显的差异（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2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C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及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D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）。</w:t>
            </w:r>
          </w:p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drawing>
                <wp:inline distT="0" distB="0" distL="114300" distR="114300">
                  <wp:extent cx="5258435" cy="3261360"/>
                  <wp:effectExtent l="0" t="0" r="8890" b="5715"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highlight w:val="none"/>
              </w:rPr>
              <w:t>图2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 xml:space="preserve"> 肠道特异性敲除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CCKBR小鼠肠道CCKBR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蛋白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表达水平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（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</w:rPr>
              <w:t>n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=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WT组小鼠及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KO组小鼠小肠CCKBR蛋白表达情况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B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WT组小鼠及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KO组小鼠小肠CCKBR蛋白表达量化图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WT组小鼠及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KO组小鼠肾脏CCKBR蛋白表达情况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D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肾脏CCKBR蛋白表达量化图。与WT组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比较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&lt;0.05。注：CCKBR为胃泌素受体；WT为野生型（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KO为肠道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GAPDH为甘油-3-磷酸脱氢酶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widowControl/>
              <w:numPr>
                <w:ilvl w:val="0"/>
                <w:numId w:val="4"/>
              </w:numPr>
              <w:ind w:left="0" w:leftChars="0" w:firstLine="0" w:firstLineChars="0"/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CCKBR小鼠高盐喂养后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血压和高血压三项明显升高</w:t>
            </w:r>
            <w:r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ind w:leftChars="0" w:firstLine="480" w:firstLineChars="200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CCKBR小鼠和野生型小鼠分别喂养正常盐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0. 4% NaCl，NS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、高盐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4% NaCl，HS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，6周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后，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血压测量结果显示，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肠道特异性敲除CCKBR小鼠高盐喂养组（C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KO-HS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的收缩压和舒张压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均明显高于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WT-NS、WT-HS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及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KO-NS组（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3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KO-HS组肾素血管紧张素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II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和醛固酮的水平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亦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均显著高于其他三组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3B-D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。</w:t>
            </w: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widowControl/>
              <w:ind w:leftChars="-200" w:hanging="420" w:hangingChars="200"/>
              <w:jc w:val="center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widowControl/>
              <w:ind w:leftChars="-200" w:hanging="420" w:hangingChars="200"/>
              <w:jc w:val="center"/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4934585" cy="3234055"/>
                  <wp:effectExtent l="0" t="0" r="8890" b="4445"/>
                  <wp:docPr id="3" name="图片 3" descr="图片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2-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85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both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highlight w:val="none"/>
              </w:rPr>
              <w:t>图3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 xml:space="preserve"> 肠道特异性敲除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CCKBR小鼠高盐喂养后血压和高血压三项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检测（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</w:rPr>
              <w:t>n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=12）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A：小鼠收缩压和舒张压变化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B：四组小鼠肾素水平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C：四组小鼠血管紧张素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II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D：四组小鼠醛固酮水平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P&lt;0.05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P&lt;0.0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</w:rPr>
              <w:t>1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***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P&lt;0.001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。注：WT为野生型（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KO为肠道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NS：正常盐饮食；HS：高盐饮食。</w:t>
            </w:r>
          </w:p>
          <w:p>
            <w:pPr>
              <w:widowControl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</w:p>
          <w:p>
            <w:pPr>
              <w:widowControl/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肠道特异性敲除</w:t>
            </w: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>CCKBR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小鼠钠离子排出量显著增加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  <w:highlight w:val="none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ind w:leftChars="0" w:firstLine="480" w:firstLineChars="200"/>
              <w:jc w:val="left"/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与其他组相比，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肠道特异性敲除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4"/>
                <w:szCs w:val="24"/>
                <w:highlight w:val="none"/>
              </w:rPr>
              <w:t>CCKBR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小鼠高盐喂养（C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KO-HS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组的尿钠与肌酐比值、尿氯与肌酐比值均明显升高（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4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及C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），尿钾与肌酐比值的差异无统计学差异（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4B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高盐诱导的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肠道特异性敲除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24小时尿钠增加，表明了其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钠离子吸收显著增加。四组小鼠体重未见显著差异（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4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D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）。</w:t>
            </w:r>
          </w:p>
          <w:p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drawing>
                <wp:inline distT="0" distB="0" distL="114300" distR="114300">
                  <wp:extent cx="5257165" cy="2995295"/>
                  <wp:effectExtent l="0" t="0" r="635" b="5080"/>
                  <wp:docPr id="9" name="图片 9" descr="图片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3-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299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highlight w:val="none"/>
              </w:rPr>
              <w:t>图4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 xml:space="preserve"> 肠道特异性敲除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24小时尿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钾离子水平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检测（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</w:rPr>
              <w:t>n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=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四组小鼠尿钠与肌酐比值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B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四组小鼠尿氯与肌酐比值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四组小鼠尿钾与肌酐比值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D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四组小鼠体重值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P&lt;0.05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注：WT为野生型（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KO为肠道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i w:val="0"/>
                <w:iCs w:val="0"/>
                <w:highlight w:val="none"/>
              </w:rPr>
              <w:t xml:space="preserve"> villin-Cre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NS为正常盐饮食；HS为高盐饮食。</w:t>
            </w:r>
          </w:p>
          <w:p>
            <w:pPr>
              <w:rPr>
                <w:rFonts w:ascii="Times New Roman" w:hAnsi="Times New Roman" w:eastAsia="宋体" w:cs="Times New Roman"/>
                <w:b/>
                <w:szCs w:val="21"/>
                <w:highlight w:val="none"/>
              </w:rPr>
            </w:pPr>
          </w:p>
          <w:p>
            <w:pPr>
              <w:widowControl/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小鼠肠道钠离子吸收显著增加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  <w:highlight w:val="none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ind w:leftChars="0" w:firstLine="480" w:firstLineChars="200"/>
              <w:jc w:val="left"/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为进一步验证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hint="eastAsia" w:ascii="Times New Roman" w:hAnsi="Times New Roman" w:eastAsia="宋体" w:cs="Times New Roman"/>
                <w:i/>
                <w:sz w:val="24"/>
                <w:szCs w:val="24"/>
                <w:highlight w:val="none"/>
                <w:vertAlign w:val="baseline"/>
                <w:lang w:val="en-US" w:eastAsia="zh-CN"/>
              </w:rPr>
              <w:t>,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小鼠钠离子吸收水平，我们通过在体灌流实验发现，肠道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小鼠高盐喂养后，肠腔钠离子浓度较其他组显著降低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图5A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；而肠上皮细胞中的钠离子浓度显著升高（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P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&lt;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0.05）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图5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B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。以上结果证实，高盐喂养后肠道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小鼠的十二指肠钠离子的吸收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钠离子的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能力显著增加。</w:t>
            </w: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drawing>
                <wp:inline distT="0" distB="0" distL="114300" distR="114300">
                  <wp:extent cx="5257165" cy="1682115"/>
                  <wp:effectExtent l="0" t="0" r="635" b="3810"/>
                  <wp:docPr id="10" name="图片 10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both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highlight w:val="none"/>
              </w:rPr>
              <w:t>图5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 xml:space="preserve"> 肠道特异性敲除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肠道钠离子吸收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检测（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</w:rPr>
              <w:t>n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=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四组离体小肠肠腔内钠离子浓度。B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四组离体小肠肠上皮细胞内钠离子浓度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&lt;0.05，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&lt;0.01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***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&lt;0.001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注：WT为野生型（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KO为肠道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NS为正常盐饮食；HS为高盐饮食。</w:t>
            </w:r>
          </w:p>
          <w:p>
            <w:pPr>
              <w:rPr>
                <w:rFonts w:ascii="Times New Roman" w:hAnsi="Times New Roman" w:eastAsia="宋体" w:cs="Times New Roman"/>
                <w:b/>
                <w:szCs w:val="21"/>
                <w:highlight w:val="none"/>
              </w:rPr>
            </w:pPr>
          </w:p>
          <w:p>
            <w:pPr>
              <w:widowControl/>
              <w:numPr>
                <w:ilvl w:val="0"/>
                <w:numId w:val="4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CCKBR小鼠高盐喂养后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，小肠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钠离子转运蛋白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表达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显著增加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ind w:leftChars="0" w:firstLine="480" w:firstLineChars="200"/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为了探讨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小鼠钠吸收显著增多的机制，我们通过Western-blot检测了肠道Na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通道相关转运蛋白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Na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-K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-2Cl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vertAlign w:val="superscript"/>
              </w:rPr>
              <w:t>−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共转运体（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NKCC1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）、钠氢交换剂亚型3（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NHE3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）和上皮Na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通道（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eNaC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的蛋白表达水平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。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结果显示，与其他三组相比，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小鼠高盐喂养（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KO-HS）后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小鼠小肠上皮NHE3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eNaC的蛋白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表达水平均明显升高（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</w:rPr>
              <w:t>6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</w:rPr>
              <w:t>A，C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</w:rPr>
              <w:t>及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</w:rPr>
              <w:t>D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）。而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小鼠小肠上皮NKCC1的蛋白表达水平在高盐或者正常盐喂养组均明显高于野生型小鼠（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6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及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B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>。免疫荧光结果显示，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i/>
                <w:iCs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小鼠中小肠上皮刷状缘上的NHE3的蛋白水平明显高于野生型小鼠（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6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）。</w:t>
            </w:r>
          </w:p>
          <w:p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drawing>
                <wp:inline distT="0" distB="0" distL="114300" distR="114300">
                  <wp:extent cx="5255895" cy="2604135"/>
                  <wp:effectExtent l="0" t="0" r="1905" b="5715"/>
                  <wp:docPr id="13" name="图片 13" descr="图片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片5-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260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highlight w:val="none"/>
              </w:rPr>
              <w:t>图6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 xml:space="preserve"> 肠道特异性敲除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高盐喂养后钠离子转运蛋白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检测（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</w:rPr>
              <w:t>n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=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四组小鼠小肠NKCC1、NHE3、eNaC的蛋白表达水平。B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四组小鼠小肠NKCC1蛋白量化情况。C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四组小鼠小肠NHE3蛋白量化情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况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。D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四组小鼠小肠eNaC蛋白量化情况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E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小肠NHE3蛋白表达以及定位情况。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&lt;0.05，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1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***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&lt;0.001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注：WT为野生型（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KO为肠道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1"/>
                <w:szCs w:val="21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NS为正常盐饮食；HS为高盐饮食；NKCC1为钠钾氯协同转运蛋白1；NHE3为钠氢交换体3；eNaC为上皮钠离子通道。</w:t>
            </w: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kern w:val="0"/>
                <w:szCs w:val="21"/>
                <w:highlight w:val="none"/>
              </w:rPr>
            </w:pPr>
          </w:p>
          <w:p>
            <w:pPr>
              <w:widowControl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CCKBR小鼠高盐喂养后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，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肾脏纤维化加剧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</w:rPr>
              <w:t xml:space="preserve"> </w:t>
            </w:r>
          </w:p>
          <w:p>
            <w:pPr>
              <w:widowControl/>
              <w:ind w:firstLine="480" w:firstLineChars="200"/>
              <w:rPr>
                <w:rFonts w:ascii="Times New Roman" w:hAnsi="Times New Roman" w:eastAsia="宋体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马松染色观察肾脏和心肌细胞的形态、间质纤维化程度，胶原蛋白1染色观察血管的胶原分布。与高盐饮食喂养的野生型小鼠（WT-HS）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比较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，高盐饮食喂养的肠道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CCKBR小鼠（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KO-HS）存在更加严重的心肌细胞肥大、间质纤维化和血管胶原沉积（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7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A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小鼠肾脏中MMP2、MMP9的表达明显升高（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7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B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及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该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小鼠心脏中MMP2、MMP9的表达没有明显的差异（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7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D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及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）。</w:t>
            </w:r>
          </w:p>
          <w:p>
            <w:pPr>
              <w:widowControl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"/>
              <w:ind w:leftChars="0"/>
              <w:jc w:val="left"/>
              <w:rPr>
                <w:rFonts w:ascii="Times New Roman" w:hAnsi="Times New Roman" w:eastAsia="宋体" w:cs="Times New Roman"/>
                <w:kern w:val="0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highlight w:val="none"/>
              </w:rPr>
              <w:drawing>
                <wp:inline distT="0" distB="0" distL="114300" distR="114300">
                  <wp:extent cx="5255260" cy="2335530"/>
                  <wp:effectExtent l="0" t="0" r="2540" b="7620"/>
                  <wp:docPr id="4" name="图片 4" descr="图片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片4-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"/>
              <w:ind w:leftChars="0"/>
              <w:jc w:val="left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  <w:highlight w:val="none"/>
              </w:rPr>
              <w:t>图7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 xml:space="preserve"> 肠道特异性敲除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高盐喂养后肾脏纤维化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水平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检测（</w:t>
            </w:r>
            <w:r>
              <w:rPr>
                <w:rFonts w:hint="eastAsia" w:ascii="Times New Roman" w:hAnsi="Times New Roman" w:eastAsia="宋体" w:cs="Times New Roman"/>
                <w:i/>
                <w:szCs w:val="21"/>
                <w:highlight w:val="none"/>
              </w:rPr>
              <w:t>n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=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A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两组小鼠肾脏以及心脏马松染色情况以及血管胶原1染色情况。B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 xml:space="preserve">: 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两组小鼠肾脏MMP2以及MMP9蛋白表达情况。C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 xml:space="preserve">: 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两组小鼠肾脏MMP2以及MMP9蛋白表达量化情况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D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 xml:space="preserve">: 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两组小鼠心脏MMP2以及MMP9蛋白表达情况。E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 xml:space="preserve">: 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两组小鼠心脏MMP2以及MMP9蛋白表达量化情况。与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WT组比较，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  <w:vertAlign w:val="superscript"/>
              </w:rPr>
              <w:t>*</w:t>
            </w:r>
            <w:r>
              <w:rPr>
                <w:rFonts w:ascii="Times New Roman" w:hAnsi="Times New Roman" w:eastAsia="宋体" w:cs="Times New Roman"/>
                <w:i/>
                <w:szCs w:val="21"/>
                <w:highlight w:val="none"/>
              </w:rPr>
              <w:t>P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&lt;0.0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5。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注：WT为野生型（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；C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KO为肠道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特异性敲除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CCKBR（</w:t>
            </w:r>
            <w:r>
              <w:rPr>
                <w:rFonts w:ascii="Times New Roman" w:hAnsi="Times New Roman" w:eastAsia="宋体" w:cs="Times New Roman"/>
                <w:i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1"/>
                <w:szCs w:val="21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）小鼠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  <w:t>；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>NS为正常盐饮食；HS为高盐饮食；MAS为马松染色；Col-1为胶原1；MMP2为基质金属蛋白酶2； MMP9为基质金属蛋白酶9；GAPDH为甘油-3-磷酸脱氢酶。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"/>
              <w:ind w:leftChars="0"/>
              <w:jc w:val="left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widowControl/>
              <w:numPr>
                <w:ilvl w:val="0"/>
                <w:numId w:val="5"/>
              </w:numP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肠道特异性Cckbr敲除小鼠对氢氯噻嗪的治疗作用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为了检测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作为SSH模型的适用性，我们使用氢氯噻嗪（HCTZ）治疗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高盐喂养的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。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高盐饮食结果表明，HCTZ可显著抑制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血压的升高，其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收缩压在注射后第3天开始下降（131 ± 5 mmHg），并持续下降，明显低于CKO-HS小鼠（123±4vs.141±3mmHg）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（图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A）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。HCTZ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药理是通过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排除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机体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过量钠的积累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从而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降低血压，再次表明肠道钠的过度吸收是盐敏感的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eastAsia="宋体" w:cs="Times New Roman"/>
                <w:i w:val="0"/>
                <w:iCs w:val="0"/>
                <w:sz w:val="24"/>
                <w:szCs w:val="24"/>
                <w:highlight w:val="none"/>
              </w:rPr>
              <w:t>villin-Cre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小鼠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血压升高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的关键机制。随着降压治疗，肾素-血管紧张素-醛固酮系统的激活被终止。虽然CKO-HS和CKO-HS+HCTZ之间的血清肾素和血管紧张素II没有差异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（图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C和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D）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，但在HCTZ治疗后，血清醛固酮已经开始下降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（图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B）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。此外，由于HCTZ利尿作用，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尿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钠量增加（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图5F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），而与安慰剂组（CKO-HS）相比，氯离子和钾含量没有变化（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图5G和5H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。两组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小鼠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均检测到器官损伤。CKO-HS+HCTZ组血尿素氮与肌酐的比值略有下降，但无统计学意义（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图5E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）。通过组织学和免疫组织化学染色显示，肾脏和肾纤维病变的形态在CKO HS组和CKO-HS+HCTZ组中也有相似性（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图5I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  <w:t>）。</w:t>
            </w:r>
          </w:p>
          <w:p>
            <w:pPr>
              <w:keepNext w:val="0"/>
              <w:keepLines w:val="0"/>
              <w:widowControl/>
              <w:suppressLineNumbers w:val="0"/>
              <w:ind w:firstLine="420" w:firstLineChars="20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5130165" cy="3667125"/>
                  <wp:effectExtent l="0" t="0" r="381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6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"/>
              <w:ind w:leftChars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highlight w:val="none"/>
                <w:lang w:val="en-US" w:eastAsia="zh-CN"/>
              </w:rPr>
              <w:t>图8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 xml:space="preserve"> 氢氯噻嗪（HCTZ）治疗降低了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iCs/>
                <w:szCs w:val="21"/>
                <w:highlight w:val="none"/>
                <w:vertAlign w:val="superscript"/>
              </w:rPr>
              <w:t>fl/fl</w:t>
            </w:r>
            <w:r>
              <w:rPr>
                <w:rFonts w:ascii="Times New Roman" w:hAnsi="Times New Roman" w:eastAsia="宋体" w:cs="Times New Roman"/>
                <w:szCs w:val="21"/>
                <w:highlight w:val="none"/>
              </w:rPr>
              <w:t xml:space="preserve"> villin-Cre小鼠</w:t>
            </w:r>
            <w:r>
              <w:rPr>
                <w:rFonts w:hint="eastAsia" w:ascii="Times New Roman" w:hAnsi="Times New Roman" w:eastAsia="宋体" w:cs="Times New Roman"/>
                <w:szCs w:val="21"/>
                <w:highlight w:val="none"/>
                <w:lang w:val="en-US" w:eastAsia="zh-CN"/>
              </w:rPr>
              <w:t>血压 (A): 注射HCTZ后收缩压持续下降；（B-D）：代表CKO-HS和CKO-HS+HCTZ小鼠的血清肾素、血管紧张素II和醛固酮水平；（E-H）：钠、钾、氯、血尿素氮与肌酐的比例；（I）：Masson三色染色和肾脏纤维连接蛋白1染色（*P &lt; 0.05，**P &lt; 0.01，***P &lt; 0.001 vs。CKO-HS，每组n = 5，单因素方差分析，Tukey检验。数值显示为平均± SD）。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"/>
              <w:ind w:leftChars="0"/>
              <w:jc w:val="left"/>
              <w:rPr>
                <w:rFonts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bidi w:val="0"/>
              <w:spacing w:line="240" w:lineRule="auto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 w:bidi="ar-SA"/>
              </w:rPr>
              <w:t>本研究共重复三批实验， 实验重复性好， 模型结果一致。</w:t>
            </w:r>
          </w:p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"/>
              <w:ind w:leftChars="0"/>
              <w:jc w:val="left"/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widowControl/>
              <w:rPr>
                <w:rFonts w:hint="eastAsia" w:ascii="Times New Roman" w:hAnsi="Times New Roman" w:eastAsia="宋体" w:cs="Times New Roman"/>
                <w:szCs w:val="21"/>
                <w:highlight w:val="none"/>
              </w:rPr>
            </w:pP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szCs w:val="24"/>
                <w:highlight w:val="none"/>
              </w:rPr>
              <w:t>动物模型的生物安全性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本实验使用了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villin-cre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小鼠，饲养于医科院动物所清洁级级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屏蔽环境中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，研究所动物房具备实验动物使用许可证。所有实验程序均按照我们机构动物护理和使用委员会（ILAS-YZW19002）的指导方针进行。所有操作人员均通过北京市实验动物上岗证考试，具备熟练的操作技术。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 xml:space="preserve"> 在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整个实验过程中保证动物处于监管状态，无逃脱可能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。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实验结束后由实验人员按笼取出，在实验室中进行取材。动物尸体及废弃物，将送相关部门依据相应生物安全条例进行处理。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</w:pPr>
          </w:p>
          <w:p>
            <w:pPr>
              <w:autoSpaceDE w:val="0"/>
              <w:autoSpaceDN w:val="0"/>
              <w:adjustRightInd w:val="0"/>
              <w:spacing w:before="1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  <w:szCs w:val="24"/>
                <w:highlight w:val="none"/>
              </w:rPr>
              <w:t>讨论和结论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对于盐敏感高血压的检测指标主要有清醒状态下的血压，血液生理生化指标以及靶器官损伤情况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等。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本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villin-cre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小鼠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盐敏感高血压模型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经高盐诱导很稳定地表现出上述指标的显著差异，能够很好地模拟临床盐敏感型高血压症状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</w:t>
            </w:r>
          </w:p>
          <w:p>
            <w:pPr>
              <w:autoSpaceDE w:val="0"/>
              <w:autoSpaceDN w:val="0"/>
              <w:adjustRightInd w:val="0"/>
              <w:spacing w:before="1"/>
              <w:ind w:firstLine="480" w:firstLineChars="20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本模型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很好地模拟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人体对Na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吸收的方式，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即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经口摄入，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经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肠道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过量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吸收，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从而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诱导形成盐敏感高血压，填补了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由肠道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吸收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过量而导致的盐敏感性高血压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的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小鼠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模型的空白，为盐敏感高血压的研究提供一种更加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稳定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有效的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小鼠模型，同时为抑制肠道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Na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vertAlign w:val="superscript"/>
              </w:rPr>
              <w:t>+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吸收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过量类药物的研发提供了很好的评价模型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。</w:t>
            </w:r>
          </w:p>
          <w:p>
            <w:pPr>
              <w:widowControl/>
              <w:spacing w:line="300" w:lineRule="auto"/>
              <w:jc w:val="left"/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有助于动物模型鉴定和评价的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  <w:lang w:eastAsia="zh-CN"/>
              </w:rPr>
              <w:t>其他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highlight w:val="none"/>
              </w:rPr>
              <w:t>材料</w:t>
            </w:r>
          </w:p>
          <w:p>
            <w:pPr>
              <w:autoSpaceDE w:val="0"/>
              <w:autoSpaceDN w:val="0"/>
              <w:adjustRightInd w:val="0"/>
              <w:spacing w:before="1" w:line="360" w:lineRule="auto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villin-cre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小鼠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盐敏感高血压模型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通过教育部科技查新工作站审查证明是一种全新的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盐敏感高血压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 xml:space="preserve">小鼠模型。 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>CCKBR</w:t>
            </w:r>
            <w:r>
              <w:rPr>
                <w:rFonts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</w:rPr>
              <w:t>fl/fl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/>
                <w:iCs/>
                <w:kern w:val="0"/>
                <w:sz w:val="24"/>
                <w:szCs w:val="24"/>
                <w:highlight w:val="none"/>
                <w:vertAlign w:val="superscript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villin-cre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小鼠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盐敏感高血压模型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已经在</w:t>
            </w:r>
            <w:r>
              <w:rPr>
                <w:rFonts w:hint="eastAsia"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  <w:lang w:val="en-US" w:eastAsia="zh-CN"/>
              </w:rPr>
              <w:t>Journal of Geriatric Cardiology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发表了名为《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Intestinal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24"/>
                <w:szCs w:val="24"/>
                <w:highlight w:val="none"/>
              </w:rPr>
              <w:t xml:space="preserve"> Cckbr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highlight w:val="none"/>
              </w:rPr>
              <w:t>-specific knockout mouse as a novel model of salt-sensitive hypertension via sodium over-absorption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》学术论文，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详细材料以附件形式一并提交。</w:t>
            </w:r>
          </w:p>
          <w:p>
            <w:pPr>
              <w:autoSpaceDE w:val="0"/>
              <w:autoSpaceDN w:val="0"/>
              <w:adjustRightInd w:val="0"/>
              <w:spacing w:before="1" w:line="360" w:lineRule="auto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before="1" w:line="360" w:lineRule="auto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before="1" w:line="360" w:lineRule="auto"/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pacing w:before="1" w:line="360" w:lineRule="auto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spacing w:before="104"/>
        <w:ind w:firstLine="1175" w:firstLineChars="650"/>
        <w:jc w:val="right"/>
        <w:rPr>
          <w:rFonts w:ascii="Times New Roman" w:hAnsi="Times New Roman" w:eastAsia="宋体" w:cs="Times New Roman"/>
          <w:b/>
          <w:kern w:val="0"/>
          <w:sz w:val="18"/>
          <w:szCs w:val="18"/>
          <w:highlight w:val="none"/>
        </w:rPr>
      </w:pPr>
      <w:r>
        <w:rPr>
          <w:rFonts w:hint="eastAsia" w:ascii="Times New Roman" w:hAnsi="Times New Roman" w:eastAsia="宋体" w:cs="Times New Roman"/>
          <w:b/>
          <w:kern w:val="0"/>
          <w:sz w:val="18"/>
          <w:szCs w:val="18"/>
          <w:highlight w:val="none"/>
        </w:rPr>
        <w:t>中国实验动物学会实验动物模型鉴定与评价工作委员会制</w:t>
      </w:r>
    </w:p>
    <w:p>
      <w:pPr>
        <w:rPr>
          <w:rFonts w:ascii="Times New Roman" w:hAnsi="Times New Roman" w:eastAsia="宋体" w:cs="Times New Roman"/>
          <w:highlight w:val="none"/>
        </w:rPr>
      </w:pPr>
    </w:p>
    <w:p>
      <w:pPr>
        <w:rPr>
          <w:rFonts w:ascii="Times New Roman" w:hAnsi="Times New Roman" w:eastAsia="宋体" w:cs="Times New Roman"/>
          <w:highlight w:val="none"/>
        </w:rPr>
      </w:pPr>
    </w:p>
    <w:p>
      <w:pPr>
        <w:rPr>
          <w:highlight w:val="none"/>
        </w:rPr>
      </w:pPr>
    </w:p>
    <w:p>
      <w:pPr>
        <w:widowControl/>
        <w:jc w:val="center"/>
        <w:rPr>
          <w:rFonts w:ascii="Times New Roman" w:hAnsi="Times New Roman" w:eastAsia="宋体" w:cs="宋体"/>
          <w:b/>
          <w:bCs/>
          <w:color w:val="000000"/>
          <w:kern w:val="0"/>
          <w:sz w:val="30"/>
          <w:szCs w:val="30"/>
          <w:highlight w:val="none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0"/>
          <w:sz w:val="30"/>
          <w:szCs w:val="30"/>
          <w:highlight w:val="none"/>
        </w:rPr>
        <w:t>中国实验动物学会动物模型研发报告编制要点</w:t>
      </w:r>
    </w:p>
    <w:p>
      <w:pPr>
        <w:widowControl/>
        <w:jc w:val="left"/>
        <w:rPr>
          <w:rFonts w:ascii="Times New Roman" w:hAnsi="Times New Roman" w:eastAsia="宋体" w:cs="宋体"/>
          <w:b/>
          <w:bCs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一、动物模型的命名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参考国际实验动物命名通用原则，结合动物模型类型的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I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、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II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和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Ⅲ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级分类法进行联合命名，即“疾病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+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动物品种</w:t>
      </w:r>
      <w:r>
        <w:rPr>
          <w:rFonts w:ascii="Times New Roman" w:hAnsi="Times New Roman" w:eastAsia="宋体" w:cs="Times New Roman"/>
          <w:sz w:val="24"/>
          <w:szCs w:val="24"/>
          <w:highlight w:val="none"/>
        </w:rPr>
        <w:t>+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造模方法”进行命名，命名时应尽量细化。中医药动物模型应体现中医药特点。需用中英两种文字命名。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二、研究背景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研究目的及意义；国内外研究进展并附参考文献。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三、动物模型的制备方法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包括实验材料、实验环境、实验操作规程等内容。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对涉及的实验动物、实验试剂、检测仪器应标明详细信息，并符合国家相关规定。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四、动物模型的评价与验证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基于模型制备三原则（表观效度、预测效度以及结构效度）对模型指标进行评价，其中包括整体行为特征、组织器官、细胞和分子等在内的指标评价体系。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评价方法包括以整体实验为主，涵盖行为、影像、生理生化和组织切片等技术方法进行详细介绍。采用的仪器设备、试剂应满足模型评价的要求，指标完善，条件稳定。</w:t>
      </w:r>
    </w:p>
    <w:p>
      <w:pPr>
        <w:ind w:firstLine="480" w:firstLineChars="200"/>
        <w:jc w:val="left"/>
        <w:rPr>
          <w:rFonts w:ascii="Times New Roman" w:hAnsi="Times New Roman" w:eastAsia="宋体" w:cs="宋体"/>
          <w:sz w:val="24"/>
          <w:szCs w:val="24"/>
          <w:highlight w:val="none"/>
        </w:rPr>
      </w:pP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评价指标包括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核心指标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（如特异的基因改变、特异的染毒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病原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株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或高载量病毒核酸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、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特异性免疫抗体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）；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主要指标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（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模拟人类疾病临床症状和体征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、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易感器官的特征性改变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和特异性生物标志物）；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重要指标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（模拟疾病某些方面的改变的指标）和辅助指标。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应包括阳性药物对其指标的证实效应。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应说明重复验证的批数。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中医药</w:t>
      </w:r>
      <w:r>
        <w:rPr>
          <w:rFonts w:ascii="Times New Roman" w:hAnsi="Times New Roman" w:eastAsia="宋体" w:cs="宋体"/>
          <w:sz w:val="24"/>
          <w:szCs w:val="24"/>
          <w:highlight w:val="none"/>
          <w:lang w:bidi="ar"/>
        </w:rPr>
        <w:t>模型应有体现中医药特点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的评价指标。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五、动物模型的生物安全性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动物模型的制备和应用实验必须在具备相应资质的实验室开展。动物模型的制备、应用过程中的监督管理、处置措施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、对环境和生态影响</w:t>
      </w:r>
      <w:r>
        <w:rPr>
          <w:rFonts w:hint="eastAsia" w:ascii="Times New Roman" w:hAnsi="Times New Roman" w:eastAsia="宋体" w:cs="宋体"/>
          <w:sz w:val="24"/>
          <w:szCs w:val="24"/>
          <w:highlight w:val="none"/>
          <w:lang w:bidi="ar"/>
        </w:rPr>
        <w:t>等应符合国家相关法律规定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六、讨论和结论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总结该模型鉴定和评价的技术方法和指标体系；分析该模型与国内外现有模型的异同；讨论该模型的技术难点、创新性和应用价值。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七、有助于动物模型鉴定和评价的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eastAsia="zh-CN"/>
        </w:rPr>
        <w:t>其他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材料</w:t>
      </w:r>
    </w:p>
    <w:p>
      <w:pPr>
        <w:widowControl/>
        <w:spacing w:line="300" w:lineRule="auto"/>
        <w:ind w:firstLine="480" w:firstLineChars="200"/>
        <w:jc w:val="left"/>
        <w:rPr>
          <w:rFonts w:ascii="Times New Roman" w:hAnsi="Times New Roman" w:eastAsia="宋体" w:cs="Times New Roman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其它有助于评价的材料，包括第三方应用机构的证明、在行业一流学术刊物上发表学术论文和引用情况等材料。详细材料以附件形式一并提交。</w:t>
      </w:r>
    </w:p>
    <w:p>
      <w:pPr>
        <w:rPr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harisSI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71AFEF"/>
    <w:multiLevelType w:val="singleLevel"/>
    <w:tmpl w:val="E271AFE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FC96CC02"/>
    <w:multiLevelType w:val="singleLevel"/>
    <w:tmpl w:val="FC96CC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740654D"/>
    <w:multiLevelType w:val="multilevel"/>
    <w:tmpl w:val="0740654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13CF069"/>
    <w:multiLevelType w:val="singleLevel"/>
    <w:tmpl w:val="413CF069"/>
    <w:lvl w:ilvl="0" w:tentative="0">
      <w:start w:val="8"/>
      <w:numFmt w:val="decimal"/>
      <w:suff w:val="space"/>
      <w:lvlText w:val="%1."/>
      <w:lvlJc w:val="left"/>
    </w:lvl>
  </w:abstractNum>
  <w:abstractNum w:abstractNumId="4">
    <w:nsid w:val="5D0138F7"/>
    <w:multiLevelType w:val="multilevel"/>
    <w:tmpl w:val="5D0138F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  <w:docVar w:name="KSO_WPS_MARK_KEY" w:val="1929c78d-d56e-440c-b67d-3cd0b9cddf62"/>
  </w:docVars>
  <w:rsids>
    <w:rsidRoot w:val="00365736"/>
    <w:rsid w:val="000619E0"/>
    <w:rsid w:val="00065627"/>
    <w:rsid w:val="000930A4"/>
    <w:rsid w:val="000E567A"/>
    <w:rsid w:val="001034D4"/>
    <w:rsid w:val="00107D35"/>
    <w:rsid w:val="0013396C"/>
    <w:rsid w:val="00175491"/>
    <w:rsid w:val="00195631"/>
    <w:rsid w:val="001A7633"/>
    <w:rsid w:val="001B60AA"/>
    <w:rsid w:val="001D3B36"/>
    <w:rsid w:val="001F70EB"/>
    <w:rsid w:val="002A59EF"/>
    <w:rsid w:val="002B4F2A"/>
    <w:rsid w:val="002F707E"/>
    <w:rsid w:val="003348FE"/>
    <w:rsid w:val="00365736"/>
    <w:rsid w:val="003752D2"/>
    <w:rsid w:val="003B100D"/>
    <w:rsid w:val="003B6FC6"/>
    <w:rsid w:val="003C23B3"/>
    <w:rsid w:val="00427ED2"/>
    <w:rsid w:val="00444023"/>
    <w:rsid w:val="0046327C"/>
    <w:rsid w:val="00482100"/>
    <w:rsid w:val="00485867"/>
    <w:rsid w:val="00512FDE"/>
    <w:rsid w:val="00527D0D"/>
    <w:rsid w:val="00531DA2"/>
    <w:rsid w:val="005445B5"/>
    <w:rsid w:val="0055460F"/>
    <w:rsid w:val="0059733E"/>
    <w:rsid w:val="005B612E"/>
    <w:rsid w:val="005C73B2"/>
    <w:rsid w:val="00636BC4"/>
    <w:rsid w:val="00637080"/>
    <w:rsid w:val="006529C7"/>
    <w:rsid w:val="00664289"/>
    <w:rsid w:val="00672FC6"/>
    <w:rsid w:val="00673EEE"/>
    <w:rsid w:val="006B4A7C"/>
    <w:rsid w:val="006E7E0D"/>
    <w:rsid w:val="006F5D8F"/>
    <w:rsid w:val="00703AE3"/>
    <w:rsid w:val="007326A8"/>
    <w:rsid w:val="007913E0"/>
    <w:rsid w:val="007A2D55"/>
    <w:rsid w:val="007D2E91"/>
    <w:rsid w:val="007D2F8A"/>
    <w:rsid w:val="00832A2F"/>
    <w:rsid w:val="0085484A"/>
    <w:rsid w:val="00856B9D"/>
    <w:rsid w:val="008C0517"/>
    <w:rsid w:val="008C796C"/>
    <w:rsid w:val="0090779E"/>
    <w:rsid w:val="0091241B"/>
    <w:rsid w:val="00985764"/>
    <w:rsid w:val="00A06AA1"/>
    <w:rsid w:val="00A13BDC"/>
    <w:rsid w:val="00A16E68"/>
    <w:rsid w:val="00A44125"/>
    <w:rsid w:val="00A44D25"/>
    <w:rsid w:val="00A626A4"/>
    <w:rsid w:val="00A840F0"/>
    <w:rsid w:val="00AA38BE"/>
    <w:rsid w:val="00AA4C5B"/>
    <w:rsid w:val="00AA7E8B"/>
    <w:rsid w:val="00AC6056"/>
    <w:rsid w:val="00AD0392"/>
    <w:rsid w:val="00AF47CB"/>
    <w:rsid w:val="00AF6E68"/>
    <w:rsid w:val="00B450DE"/>
    <w:rsid w:val="00C03939"/>
    <w:rsid w:val="00C03B08"/>
    <w:rsid w:val="00C215C8"/>
    <w:rsid w:val="00C369E8"/>
    <w:rsid w:val="00C6487C"/>
    <w:rsid w:val="00C90591"/>
    <w:rsid w:val="00CE03DD"/>
    <w:rsid w:val="00CE1F4F"/>
    <w:rsid w:val="00CE7D77"/>
    <w:rsid w:val="00CF74C8"/>
    <w:rsid w:val="00D01264"/>
    <w:rsid w:val="00D41CC4"/>
    <w:rsid w:val="00D555C6"/>
    <w:rsid w:val="00D62934"/>
    <w:rsid w:val="00D91A97"/>
    <w:rsid w:val="00DA2181"/>
    <w:rsid w:val="00DB14DB"/>
    <w:rsid w:val="00DB28C2"/>
    <w:rsid w:val="00DE45DF"/>
    <w:rsid w:val="00DE79D4"/>
    <w:rsid w:val="00DE7A19"/>
    <w:rsid w:val="00E02AA1"/>
    <w:rsid w:val="00E44C53"/>
    <w:rsid w:val="00E64FFC"/>
    <w:rsid w:val="00E76D07"/>
    <w:rsid w:val="00E86882"/>
    <w:rsid w:val="00EA2EDC"/>
    <w:rsid w:val="00EA4ACE"/>
    <w:rsid w:val="00EA63CA"/>
    <w:rsid w:val="00EE4F0B"/>
    <w:rsid w:val="00F06D53"/>
    <w:rsid w:val="00F373AD"/>
    <w:rsid w:val="00F465E8"/>
    <w:rsid w:val="00F757DB"/>
    <w:rsid w:val="00F87D79"/>
    <w:rsid w:val="00FD78B8"/>
    <w:rsid w:val="00FF0626"/>
    <w:rsid w:val="00FF7229"/>
    <w:rsid w:val="048250F3"/>
    <w:rsid w:val="078B44A3"/>
    <w:rsid w:val="0D2D793E"/>
    <w:rsid w:val="0D4F22C1"/>
    <w:rsid w:val="0EA77D80"/>
    <w:rsid w:val="10492FDF"/>
    <w:rsid w:val="12CA3D79"/>
    <w:rsid w:val="13AE7D5A"/>
    <w:rsid w:val="1B8E6C24"/>
    <w:rsid w:val="225361CB"/>
    <w:rsid w:val="32311D09"/>
    <w:rsid w:val="333C2E28"/>
    <w:rsid w:val="45ED2C23"/>
    <w:rsid w:val="4A324165"/>
    <w:rsid w:val="58510DB2"/>
    <w:rsid w:val="58ED3AF1"/>
    <w:rsid w:val="5EDB1A4B"/>
    <w:rsid w:val="67E8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7062</Words>
  <Characters>10549</Characters>
  <Lines>46</Lines>
  <Paragraphs>13</Paragraphs>
  <TotalTime>1</TotalTime>
  <ScaleCrop>false</ScaleCrop>
  <LinksUpToDate>false</LinksUpToDate>
  <CharactersWithSpaces>10999</CharactersWithSpaces>
  <Application>WPS Office_11.1.0.12375_F1E327BC-269C-435d-A152-05C5408002CA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2023-03-24T03:37:00Z</dcterms:created>
  <dc:creator>孙 秀萍</dc:creator>
  <cp:lastModifiedBy>小亮</cp:lastModifiedBy>
  <dcterms:modified xsi:type="dcterms:W3CDTF">2025-03-24T00:14:45Z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2052-11.1.0.12375</vt:lpwstr>
  </property>
  <property fmtid="{D5CDD505-2E9C-101B-9397-08002B2CF9AE}" pid="3" name="ICV">
    <vt:lpwstr>B8B7E8061FE0418EA0D6B38C6ADE228D</vt:lpwstr>
  </property>
  <property fmtid="{D5CDD505-2E9C-101B-9397-08002B2CF9AE}" pid="4" name="KSOTemplateDocerSaveRecord">
    <vt:lpwstr>eyJoZGlkIjoiYzYzNGQ3ODc0Y2U5ODllMDNhZjdlYzczNGJiOThlNTgiLCJ1c2VySWQiOiIyNTQ0NTA3MDQifQ==</vt:lpwstr>
  </property>
</Properties>
</file>