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ascii="Times New Roman" w:hAnsi="Times New Roman" w:eastAsia="宋体" w:cs="Times New Roman"/>
          <w:sz w:val="24"/>
          <w:szCs w:val="24"/>
        </w:rPr>
        <w:t>3</w:t>
      </w:r>
    </w:p>
    <w:p>
      <w:pPr>
        <w:autoSpaceDE w:val="0"/>
        <w:autoSpaceDN w:val="0"/>
        <w:adjustRightInd w:val="0"/>
        <w:spacing w:before="1"/>
        <w:jc w:val="center"/>
        <w:rPr>
          <w:rFonts w:ascii="Times New Roman" w:hAnsi="Times New Roman" w:eastAsia="宋体" w:cs="Times New Roman"/>
          <w:b/>
          <w:kern w:val="0"/>
          <w:sz w:val="24"/>
          <w:szCs w:val="24"/>
        </w:rPr>
      </w:pPr>
      <w:r>
        <w:rPr>
          <w:rFonts w:hint="eastAsia" w:ascii="Times New Roman" w:hAnsi="Times New Roman" w:eastAsia="宋体" w:cs="宋体"/>
          <w:b/>
          <w:color w:val="000000"/>
          <w:w w:val="99"/>
          <w:kern w:val="0"/>
          <w:sz w:val="30"/>
          <w:szCs w:val="30"/>
        </w:rPr>
        <w:t>中国实验动物学会实验动物模型研发报告</w:t>
      </w:r>
    </w:p>
    <w:p>
      <w:pPr>
        <w:widowControl/>
        <w:jc w:val="left"/>
        <w:rPr>
          <w:rFonts w:ascii="Times New Roman" w:hAnsi="Times New Roman" w:eastAsia="宋体" w:cs="宋体"/>
          <w:color w:val="000000"/>
          <w:kern w:val="0"/>
          <w:sz w:val="24"/>
          <w:szCs w:val="24"/>
        </w:rPr>
      </w:pPr>
    </w:p>
    <w:tbl>
      <w:tblPr>
        <w:tblStyle w:val="4"/>
        <w:tblW w:w="9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8"/>
        <w:gridCol w:w="1010"/>
        <w:gridCol w:w="2400"/>
        <w:gridCol w:w="3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498" w:type="dxa"/>
            <w:shd w:val="clear" w:color="auto" w:fill="auto"/>
            <w:vAlign w:val="center"/>
          </w:tcPr>
          <w:p>
            <w:pPr>
              <w:autoSpaceDE w:val="0"/>
              <w:autoSpaceDN w:val="0"/>
              <w:adjustRightInd w:val="0"/>
              <w:spacing w:line="360" w:lineRule="exact"/>
              <w:rPr>
                <w:rFonts w:ascii="Times New Roman" w:hAnsi="Times New Roman" w:eastAsia="宋体" w:cs="Times New Roman"/>
                <w:kern w:val="0"/>
                <w:sz w:val="24"/>
                <w:szCs w:val="24"/>
                <w:highlight w:val="none"/>
              </w:rPr>
            </w:pPr>
            <w:r>
              <w:rPr>
                <w:rFonts w:hint="eastAsia" w:ascii="Times New Roman" w:hAnsi="Times New Roman" w:eastAsia="宋体" w:cs="宋体"/>
                <w:color w:val="000000"/>
                <w:kern w:val="0"/>
                <w:sz w:val="24"/>
                <w:szCs w:val="24"/>
                <w:highlight w:val="none"/>
              </w:rPr>
              <w:t>实验动物模型名称（中、英文）</w:t>
            </w:r>
          </w:p>
        </w:tc>
        <w:tc>
          <w:tcPr>
            <w:tcW w:w="6571" w:type="dxa"/>
            <w:gridSpan w:val="3"/>
            <w:shd w:val="clear" w:color="auto" w:fill="auto"/>
          </w:tcPr>
          <w:p>
            <w:pP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可诱导型心脏</w:t>
            </w:r>
            <w:r>
              <w:rPr>
                <w:rFonts w:hint="eastAsia" w:ascii="Times New Roman" w:hAnsi="Times New Roman" w:eastAsia="宋体" w:cs="Times New Roman"/>
                <w:i/>
                <w:iCs/>
                <w:color w:val="000000" w:themeColor="text1"/>
                <w:sz w:val="24"/>
                <w:szCs w:val="24"/>
                <w:highlight w:val="none"/>
                <w:lang w:val="en-US" w:eastAsia="zh-CN"/>
                <w14:textFill>
                  <w14:solidFill>
                    <w14:schemeClr w14:val="tx1"/>
                  </w14:solidFill>
                </w14:textFill>
              </w:rPr>
              <w:t>Drd5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基因特异性</w:t>
            </w:r>
            <w:r>
              <w:rPr>
                <w:rFonts w:hint="eastAsia" w:ascii="Times New Roman" w:hAnsi="Times New Roman" w:eastAsia="宋体" w:cs="Times New Roman"/>
                <w:color w:val="000000" w:themeColor="text1"/>
                <w:sz w:val="24"/>
                <w:szCs w:val="24"/>
                <w:highlight w:val="none"/>
                <w14:textFill>
                  <w14:solidFill>
                    <w14:schemeClr w14:val="tx1"/>
                  </w14:solidFill>
                </w14:textFill>
              </w:rPr>
              <w:t>敲除小鼠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心衰</w:t>
            </w:r>
            <w:r>
              <w:rPr>
                <w:rFonts w:hint="eastAsia" w:ascii="Times New Roman" w:hAnsi="Times New Roman" w:eastAsia="宋体" w:cs="Times New Roman"/>
                <w:color w:val="000000" w:themeColor="text1"/>
                <w:sz w:val="24"/>
                <w:szCs w:val="24"/>
                <w:highlight w:val="none"/>
                <w14:textFill>
                  <w14:solidFill>
                    <w14:schemeClr w14:val="tx1"/>
                  </w14:solidFill>
                </w14:textFill>
              </w:rPr>
              <w:t>模型</w:t>
            </w:r>
          </w:p>
          <w:p>
            <w:pPr>
              <w:autoSpaceDE w:val="0"/>
              <w:autoSpaceDN w:val="0"/>
              <w:adjustRightInd w:val="0"/>
              <w:spacing w:before="104"/>
              <w:rPr>
                <w:rFonts w:ascii="Times New Roman" w:hAnsi="Times New Roman" w:eastAsia="宋体" w:cs="Times New Roman"/>
                <w:kern w:val="0"/>
                <w:sz w:val="24"/>
                <w:szCs w:val="24"/>
                <w:highlight w:val="none"/>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Inducible Cardiac-specific </w:t>
            </w:r>
            <w:r>
              <w:rPr>
                <w:rFonts w:hint="eastAsia" w:ascii="Times New Roman" w:hAnsi="Times New Roman" w:eastAsia="宋体" w:cs="Times New Roman"/>
                <w:i/>
                <w:iCs/>
                <w:color w:val="000000" w:themeColor="text1"/>
                <w:sz w:val="24"/>
                <w:szCs w:val="24"/>
                <w:highlight w:val="none"/>
                <w:lang w:val="en-US" w:eastAsia="zh-CN"/>
                <w14:textFill>
                  <w14:solidFill>
                    <w14:schemeClr w14:val="tx1"/>
                  </w14:solidFill>
                </w14:textFill>
              </w:rPr>
              <w:t>Drd5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K</w:t>
            </w:r>
            <w:r>
              <w:rPr>
                <w:rFonts w:hint="eastAsia" w:ascii="Times New Roman" w:hAnsi="Times New Roman" w:eastAsia="宋体" w:cs="Times New Roman"/>
                <w:color w:val="000000" w:themeColor="text1"/>
                <w:sz w:val="24"/>
                <w:szCs w:val="24"/>
                <w:highlight w:val="none"/>
                <w14:textFill>
                  <w14:solidFill>
                    <w14:schemeClr w14:val="tx1"/>
                  </w14:solidFill>
                </w14:textFill>
              </w:rPr>
              <w:t>nockout</w:t>
            </w:r>
            <w:r>
              <w:rPr>
                <w:rFonts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Mice</w:t>
            </w:r>
            <w:r>
              <w:rPr>
                <w:rFonts w:ascii="Times New Roman" w:hAnsi="Times New Roman" w:eastAsia="宋体" w:cs="Times New Roman"/>
                <w:color w:val="000000" w:themeColor="text1"/>
                <w:kern w:val="0"/>
                <w:sz w:val="24"/>
                <w:szCs w:val="24"/>
                <w:highlight w:val="none"/>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Heart Failure M</w:t>
            </w:r>
            <w:r>
              <w:rPr>
                <w:rFonts w:ascii="Times New Roman" w:hAnsi="Times New Roman" w:eastAsia="宋体" w:cs="Times New Roman"/>
                <w:color w:val="000000" w:themeColor="text1"/>
                <w:kern w:val="0"/>
                <w:sz w:val="24"/>
                <w:szCs w:val="24"/>
                <w:highlight w:val="none"/>
                <w14:textFill>
                  <w14:solidFill>
                    <w14:schemeClr w14:val="tx1"/>
                  </w14:solidFill>
                </w14:textFill>
              </w:rPr>
              <w:t>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498" w:type="dxa"/>
            <w:shd w:val="clear" w:color="auto" w:fill="auto"/>
            <w:vAlign w:val="center"/>
          </w:tcPr>
          <w:p>
            <w:pPr>
              <w:autoSpaceDE w:val="0"/>
              <w:autoSpaceDN w:val="0"/>
              <w:adjustRightInd w:val="0"/>
              <w:spacing w:line="360" w:lineRule="exact"/>
              <w:rPr>
                <w:rFonts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申请人（单位）</w:t>
            </w:r>
            <w:r>
              <w:rPr>
                <w:rFonts w:hint="eastAsia" w:ascii="Times New Roman" w:hAnsi="Times New Roman" w:eastAsia="宋体" w:cs="宋体"/>
                <w:color w:val="000000"/>
                <w:kern w:val="0"/>
                <w:sz w:val="24"/>
                <w:szCs w:val="24"/>
                <w:highlight w:val="none"/>
              </w:rPr>
              <w:t>名称</w:t>
            </w:r>
          </w:p>
        </w:tc>
        <w:tc>
          <w:tcPr>
            <w:tcW w:w="6571" w:type="dxa"/>
            <w:gridSpan w:val="3"/>
            <w:shd w:val="clear" w:color="auto" w:fill="auto"/>
          </w:tcPr>
          <w:p>
            <w:pPr>
              <w:autoSpaceDE w:val="0"/>
              <w:autoSpaceDN w:val="0"/>
              <w:adjustRightInd w:val="0"/>
              <w:spacing w:before="104"/>
              <w:jc w:val="left"/>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中国医学科学院医学实验动物研究所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498" w:type="dxa"/>
            <w:shd w:val="clear" w:color="auto" w:fill="auto"/>
            <w:vAlign w:val="center"/>
          </w:tcPr>
          <w:p>
            <w:pPr>
              <w:autoSpaceDE w:val="0"/>
              <w:autoSpaceDN w:val="0"/>
              <w:adjustRightInd w:val="0"/>
              <w:spacing w:line="360" w:lineRule="exact"/>
              <w:rPr>
                <w:rFonts w:ascii="Times New Roman" w:hAnsi="Times New Roman" w:eastAsia="宋体" w:cs="Times New Roman"/>
                <w:kern w:val="0"/>
                <w:sz w:val="24"/>
                <w:szCs w:val="24"/>
                <w:highlight w:val="none"/>
              </w:rPr>
            </w:pPr>
            <w:r>
              <w:rPr>
                <w:rFonts w:hint="eastAsia" w:ascii="Times New Roman" w:hAnsi="Times New Roman" w:eastAsia="宋体" w:cs="宋体"/>
                <w:color w:val="000000"/>
                <w:kern w:val="0"/>
                <w:sz w:val="24"/>
                <w:szCs w:val="24"/>
                <w:highlight w:val="none"/>
              </w:rPr>
              <w:t>研究机构（人）地址</w:t>
            </w:r>
          </w:p>
        </w:tc>
        <w:tc>
          <w:tcPr>
            <w:tcW w:w="6571" w:type="dxa"/>
            <w:gridSpan w:val="3"/>
            <w:shd w:val="clear" w:color="auto" w:fill="auto"/>
          </w:tcPr>
          <w:p>
            <w:pPr>
              <w:autoSpaceDE w:val="0"/>
              <w:autoSpaceDN w:val="0"/>
              <w:adjustRightInd w:val="0"/>
              <w:spacing w:before="104"/>
              <w:jc w:val="left"/>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北京市朝阳区潘家园南里5号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498" w:type="dxa"/>
            <w:shd w:val="clear" w:color="auto" w:fill="auto"/>
            <w:vAlign w:val="center"/>
          </w:tcPr>
          <w:p>
            <w:pPr>
              <w:autoSpaceDE w:val="0"/>
              <w:autoSpaceDN w:val="0"/>
              <w:adjustRightInd w:val="0"/>
              <w:spacing w:line="360" w:lineRule="exact"/>
              <w:rPr>
                <w:rFonts w:ascii="Times New Roman" w:hAnsi="Times New Roman" w:eastAsia="宋体" w:cs="Times New Roman"/>
                <w:kern w:val="0"/>
                <w:sz w:val="24"/>
                <w:szCs w:val="24"/>
                <w:highlight w:val="none"/>
              </w:rPr>
            </w:pPr>
            <w:r>
              <w:rPr>
                <w:rFonts w:hint="eastAsia" w:ascii="Times New Roman" w:hAnsi="Times New Roman" w:eastAsia="宋体" w:cs="宋体"/>
                <w:color w:val="000000"/>
                <w:kern w:val="0"/>
                <w:sz w:val="24"/>
                <w:szCs w:val="24"/>
                <w:highlight w:val="none"/>
              </w:rPr>
              <w:t>研究机构（人）电话</w:t>
            </w:r>
          </w:p>
        </w:tc>
        <w:tc>
          <w:tcPr>
            <w:tcW w:w="6571" w:type="dxa"/>
            <w:gridSpan w:val="3"/>
            <w:shd w:val="clear" w:color="auto" w:fill="auto"/>
          </w:tcPr>
          <w:p>
            <w:pPr>
              <w:autoSpaceDE w:val="0"/>
              <w:autoSpaceDN w:val="0"/>
              <w:adjustRightInd w:val="0"/>
              <w:spacing w:before="104"/>
              <w:jc w:val="left"/>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010-67776809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498" w:type="dxa"/>
            <w:shd w:val="clear" w:color="auto" w:fill="auto"/>
            <w:vAlign w:val="center"/>
          </w:tcPr>
          <w:p>
            <w:pPr>
              <w:autoSpaceDE w:val="0"/>
              <w:autoSpaceDN w:val="0"/>
              <w:adjustRightInd w:val="0"/>
              <w:spacing w:line="360" w:lineRule="exact"/>
              <w:rPr>
                <w:rFonts w:ascii="Times New Roman" w:hAnsi="Times New Roman" w:eastAsia="宋体" w:cs="Times New Roman"/>
                <w:kern w:val="0"/>
                <w:sz w:val="24"/>
                <w:szCs w:val="24"/>
                <w:highlight w:val="none"/>
              </w:rPr>
            </w:pPr>
            <w:r>
              <w:rPr>
                <w:rFonts w:hint="eastAsia" w:ascii="Times New Roman" w:hAnsi="Times New Roman" w:eastAsia="宋体" w:cs="宋体"/>
                <w:color w:val="000000"/>
                <w:kern w:val="0"/>
                <w:sz w:val="24"/>
                <w:szCs w:val="24"/>
                <w:highlight w:val="none"/>
              </w:rPr>
              <w:t>主要参与人员及单位</w:t>
            </w:r>
          </w:p>
        </w:tc>
        <w:tc>
          <w:tcPr>
            <w:tcW w:w="6571" w:type="dxa"/>
            <w:gridSpan w:val="3"/>
            <w:shd w:val="clear" w:color="auto" w:fill="auto"/>
          </w:tcPr>
          <w:p>
            <w:pPr>
              <w:autoSpaceDE w:val="0"/>
              <w:autoSpaceDN w:val="0"/>
              <w:adjustRightInd w:val="0"/>
              <w:spacing w:before="104"/>
              <w:jc w:val="left"/>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杨志伟 中国医学科学院医学实验动物研究所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498" w:type="dxa"/>
            <w:shd w:val="clear" w:color="auto" w:fill="auto"/>
            <w:vAlign w:val="center"/>
          </w:tcPr>
          <w:p>
            <w:pPr>
              <w:autoSpaceDE w:val="0"/>
              <w:autoSpaceDN w:val="0"/>
              <w:adjustRightInd w:val="0"/>
              <w:spacing w:line="360" w:lineRule="exact"/>
              <w:rPr>
                <w:rFonts w:ascii="Times New Roman" w:hAnsi="Times New Roman" w:eastAsia="宋体" w:cs="Times New Roman"/>
                <w:kern w:val="0"/>
                <w:sz w:val="24"/>
                <w:szCs w:val="24"/>
                <w:highlight w:val="none"/>
              </w:rPr>
            </w:pPr>
            <w:r>
              <w:rPr>
                <w:rFonts w:hint="eastAsia" w:ascii="Times New Roman" w:hAnsi="Times New Roman" w:eastAsia="宋体" w:cs="宋体"/>
                <w:color w:val="000000"/>
                <w:kern w:val="0"/>
                <w:sz w:val="24"/>
                <w:szCs w:val="24"/>
                <w:highlight w:val="none"/>
              </w:rPr>
              <w:t>研究起止日期</w:t>
            </w:r>
          </w:p>
        </w:tc>
        <w:tc>
          <w:tcPr>
            <w:tcW w:w="6571" w:type="dxa"/>
            <w:gridSpan w:val="3"/>
            <w:shd w:val="clear" w:color="auto" w:fill="auto"/>
            <w:vAlign w:val="center"/>
          </w:tcPr>
          <w:p>
            <w:pPr>
              <w:autoSpaceDE w:val="0"/>
              <w:autoSpaceDN w:val="0"/>
              <w:adjustRightInd w:val="0"/>
              <w:spacing w:line="360" w:lineRule="exact"/>
              <w:ind w:firstLine="600" w:firstLineChars="250"/>
              <w:jc w:val="center"/>
              <w:rPr>
                <w:rFonts w:ascii="Times New Roman" w:hAnsi="Times New Roman" w:eastAsia="宋体" w:cs="宋体"/>
                <w:color w:val="000000"/>
                <w:kern w:val="0"/>
                <w:sz w:val="24"/>
                <w:szCs w:val="24"/>
                <w:highlight w:val="none"/>
              </w:rPr>
            </w:pPr>
            <w:r>
              <w:rPr>
                <w:rFonts w:hint="eastAsia" w:ascii="Times New Roman" w:hAnsi="Times New Roman" w:eastAsia="宋体" w:cs="宋体"/>
                <w:color w:val="000000"/>
                <w:kern w:val="0"/>
                <w:sz w:val="24"/>
                <w:szCs w:val="24"/>
                <w:highlight w:val="none"/>
                <w:lang w:val="en-US" w:eastAsia="zh-CN"/>
              </w:rPr>
              <w:t>2019</w:t>
            </w:r>
            <w:r>
              <w:rPr>
                <w:rFonts w:hint="eastAsia" w:ascii="Times New Roman" w:hAnsi="Times New Roman" w:eastAsia="宋体" w:cs="宋体"/>
                <w:color w:val="000000"/>
                <w:kern w:val="0"/>
                <w:sz w:val="24"/>
                <w:szCs w:val="24"/>
                <w:highlight w:val="none"/>
              </w:rPr>
              <w:t>年</w:t>
            </w:r>
            <w:r>
              <w:rPr>
                <w:rFonts w:hint="eastAsia" w:ascii="Times New Roman" w:hAnsi="Times New Roman" w:eastAsia="宋体" w:cs="宋体"/>
                <w:color w:val="000000"/>
                <w:kern w:val="0"/>
                <w:sz w:val="24"/>
                <w:szCs w:val="24"/>
                <w:highlight w:val="none"/>
                <w:lang w:val="en-US" w:eastAsia="zh-CN"/>
              </w:rPr>
              <w:t>1</w:t>
            </w:r>
            <w:r>
              <w:rPr>
                <w:rFonts w:ascii="Times New Roman" w:hAnsi="Times New Roman" w:eastAsia="宋体" w:cs="宋体"/>
                <w:color w:val="000000"/>
                <w:kern w:val="0"/>
                <w:sz w:val="24"/>
                <w:szCs w:val="24"/>
                <w:highlight w:val="none"/>
              </w:rPr>
              <w:t xml:space="preserve">    </w:t>
            </w:r>
            <w:r>
              <w:rPr>
                <w:rFonts w:hint="eastAsia" w:ascii="Times New Roman" w:hAnsi="Times New Roman" w:eastAsia="宋体" w:cs="宋体"/>
                <w:color w:val="000000"/>
                <w:kern w:val="0"/>
                <w:sz w:val="24"/>
                <w:szCs w:val="24"/>
                <w:highlight w:val="none"/>
              </w:rPr>
              <w:t>月</w:t>
            </w:r>
            <w:r>
              <w:rPr>
                <w:rFonts w:ascii="Times New Roman" w:hAnsi="Times New Roman" w:eastAsia="宋体" w:cs="宋体"/>
                <w:color w:val="000000"/>
                <w:kern w:val="0"/>
                <w:sz w:val="24"/>
                <w:szCs w:val="24"/>
                <w:highlight w:val="none"/>
              </w:rPr>
              <w:t xml:space="preserve">     </w:t>
            </w:r>
            <w:r>
              <w:rPr>
                <w:rFonts w:hint="eastAsia" w:ascii="Times New Roman" w:hAnsi="Times New Roman" w:eastAsia="宋体" w:cs="宋体"/>
                <w:color w:val="000000"/>
                <w:kern w:val="0"/>
                <w:sz w:val="24"/>
                <w:szCs w:val="24"/>
                <w:highlight w:val="none"/>
              </w:rPr>
              <w:t>至</w:t>
            </w:r>
            <w:r>
              <w:rPr>
                <w:rFonts w:hint="eastAsia" w:ascii="Times New Roman" w:hAnsi="Times New Roman" w:eastAsia="宋体" w:cs="宋体"/>
                <w:color w:val="000000"/>
                <w:kern w:val="0"/>
                <w:sz w:val="24"/>
                <w:szCs w:val="24"/>
                <w:highlight w:val="none"/>
                <w:lang w:val="en-US" w:eastAsia="zh-CN"/>
              </w:rPr>
              <w:t>2022</w:t>
            </w:r>
            <w:r>
              <w:rPr>
                <w:rFonts w:ascii="Times New Roman" w:hAnsi="Times New Roman" w:eastAsia="宋体" w:cs="宋体"/>
                <w:color w:val="000000"/>
                <w:kern w:val="0"/>
                <w:sz w:val="24"/>
                <w:szCs w:val="24"/>
                <w:highlight w:val="none"/>
              </w:rPr>
              <w:t xml:space="preserve">    </w:t>
            </w:r>
            <w:r>
              <w:rPr>
                <w:rFonts w:hint="eastAsia" w:ascii="Times New Roman" w:hAnsi="Times New Roman" w:eastAsia="宋体" w:cs="宋体"/>
                <w:color w:val="000000"/>
                <w:kern w:val="0"/>
                <w:sz w:val="24"/>
                <w:szCs w:val="24"/>
                <w:highlight w:val="none"/>
              </w:rPr>
              <w:t>年</w:t>
            </w:r>
            <w:r>
              <w:rPr>
                <w:rFonts w:ascii="Times New Roman" w:hAnsi="Times New Roman" w:eastAsia="宋体" w:cs="宋体"/>
                <w:color w:val="000000"/>
                <w:kern w:val="0"/>
                <w:sz w:val="24"/>
                <w:szCs w:val="24"/>
                <w:highlight w:val="none"/>
              </w:rPr>
              <w:t xml:space="preserve">   </w:t>
            </w:r>
            <w:r>
              <w:rPr>
                <w:rFonts w:hint="eastAsia" w:ascii="Times New Roman" w:hAnsi="Times New Roman" w:eastAsia="宋体" w:cs="宋体"/>
                <w:color w:val="000000"/>
                <w:kern w:val="0"/>
                <w:sz w:val="24"/>
                <w:szCs w:val="24"/>
                <w:highlight w:val="none"/>
                <w:lang w:val="en-US" w:eastAsia="zh-CN"/>
              </w:rPr>
              <w:t>12</w:t>
            </w:r>
            <w:r>
              <w:rPr>
                <w:rFonts w:ascii="Times New Roman" w:hAnsi="Times New Roman" w:eastAsia="宋体" w:cs="宋体"/>
                <w:color w:val="000000"/>
                <w:kern w:val="0"/>
                <w:sz w:val="24"/>
                <w:szCs w:val="24"/>
                <w:highlight w:val="none"/>
              </w:rPr>
              <w:t xml:space="preserve"> </w:t>
            </w:r>
            <w:r>
              <w:rPr>
                <w:rFonts w:hint="eastAsia" w:ascii="Times New Roman" w:hAnsi="Times New Roman" w:eastAsia="宋体" w:cs="宋体"/>
                <w:color w:val="000000"/>
                <w:kern w:val="0"/>
                <w:sz w:val="24"/>
                <w:szCs w:val="24"/>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498" w:type="dxa"/>
            <w:shd w:val="clear" w:color="auto" w:fill="auto"/>
            <w:vAlign w:val="center"/>
          </w:tcPr>
          <w:p>
            <w:pPr>
              <w:autoSpaceDE w:val="0"/>
              <w:autoSpaceDN w:val="0"/>
              <w:adjustRightInd w:val="0"/>
              <w:spacing w:line="360" w:lineRule="exact"/>
              <w:rPr>
                <w:rFonts w:ascii="Times New Roman" w:hAnsi="Times New Roman" w:eastAsia="宋体" w:cs="Times New Roman"/>
                <w:kern w:val="0"/>
                <w:sz w:val="24"/>
                <w:szCs w:val="24"/>
                <w:highlight w:val="none"/>
              </w:rPr>
            </w:pPr>
            <w:r>
              <w:rPr>
                <w:rFonts w:hint="eastAsia" w:ascii="Times New Roman" w:hAnsi="Times New Roman" w:eastAsia="宋体" w:cs="宋体"/>
                <w:color w:val="000000"/>
                <w:kern w:val="0"/>
                <w:sz w:val="24"/>
                <w:szCs w:val="24"/>
                <w:highlight w:val="none"/>
              </w:rPr>
              <w:t>原始资料的保存地点</w:t>
            </w:r>
          </w:p>
        </w:tc>
        <w:tc>
          <w:tcPr>
            <w:tcW w:w="6571" w:type="dxa"/>
            <w:gridSpan w:val="3"/>
            <w:shd w:val="clear" w:color="auto" w:fill="auto"/>
            <w:vAlign w:val="center"/>
          </w:tcPr>
          <w:p>
            <w:pPr>
              <w:autoSpaceDE w:val="0"/>
              <w:autoSpaceDN w:val="0"/>
              <w:adjustRightInd w:val="0"/>
              <w:spacing w:line="360" w:lineRule="exact"/>
              <w:jc w:val="center"/>
              <w:rPr>
                <w:rFonts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lang w:val="en-US" w:eastAsia="zh-CN"/>
              </w:rPr>
              <w:t>中国医学科学院医学实验动物研究所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exact"/>
          <w:jc w:val="center"/>
        </w:trPr>
        <w:tc>
          <w:tcPr>
            <w:tcW w:w="2498" w:type="dxa"/>
            <w:shd w:val="clear" w:color="auto" w:fill="auto"/>
            <w:vAlign w:val="center"/>
          </w:tcPr>
          <w:p>
            <w:pPr>
              <w:autoSpaceDE w:val="0"/>
              <w:autoSpaceDN w:val="0"/>
              <w:adjustRightInd w:val="0"/>
              <w:spacing w:line="360" w:lineRule="exact"/>
              <w:ind w:left="2866" w:right="854" w:hanging="2865"/>
              <w:rPr>
                <w:rFonts w:ascii="Times New Roman" w:hAnsi="Times New Roman" w:eastAsia="宋体" w:cs="Times New Roman"/>
                <w:kern w:val="0"/>
                <w:sz w:val="24"/>
                <w:szCs w:val="24"/>
                <w:highlight w:val="none"/>
              </w:rPr>
            </w:pPr>
            <w:r>
              <w:rPr>
                <w:rFonts w:hint="eastAsia" w:ascii="Times New Roman" w:hAnsi="Times New Roman" w:eastAsia="宋体" w:cs="宋体"/>
                <w:color w:val="000000"/>
                <w:kern w:val="0"/>
                <w:sz w:val="24"/>
                <w:szCs w:val="24"/>
                <w:highlight w:val="none"/>
              </w:rPr>
              <w:t>联系人姓名</w:t>
            </w:r>
          </w:p>
        </w:tc>
        <w:tc>
          <w:tcPr>
            <w:tcW w:w="1010" w:type="dxa"/>
            <w:shd w:val="clear" w:color="auto" w:fill="auto"/>
            <w:vAlign w:val="center"/>
          </w:tcPr>
          <w:p>
            <w:pPr>
              <w:autoSpaceDE w:val="0"/>
              <w:autoSpaceDN w:val="0"/>
              <w:adjustRightInd w:val="0"/>
              <w:spacing w:line="360" w:lineRule="exact"/>
              <w:jc w:val="center"/>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杨志伟</w:t>
            </w:r>
          </w:p>
        </w:tc>
        <w:tc>
          <w:tcPr>
            <w:tcW w:w="2400" w:type="dxa"/>
            <w:shd w:val="clear" w:color="auto" w:fill="auto"/>
            <w:vAlign w:val="center"/>
          </w:tcPr>
          <w:p>
            <w:pPr>
              <w:autoSpaceDE w:val="0"/>
              <w:autoSpaceDN w:val="0"/>
              <w:adjustRightInd w:val="0"/>
              <w:spacing w:line="360" w:lineRule="exact"/>
              <w:ind w:left="2866" w:right="854" w:hanging="2865"/>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rPr>
              <w:t>电</w:t>
            </w:r>
            <w:r>
              <w:rPr>
                <w:rFonts w:hint="eastAsia" w:ascii="Times New Roman" w:hAnsi="Times New Roman" w:eastAsia="宋体" w:cs="Times New Roman"/>
                <w:kern w:val="0"/>
                <w:sz w:val="24"/>
                <w:szCs w:val="24"/>
                <w:highlight w:val="none"/>
                <w:lang w:val="en-US" w:eastAsia="zh-CN"/>
              </w:rPr>
              <w:t>话</w:t>
            </w:r>
          </w:p>
          <w:p>
            <w:pPr>
              <w:autoSpaceDE w:val="0"/>
              <w:autoSpaceDN w:val="0"/>
              <w:adjustRightInd w:val="0"/>
              <w:spacing w:line="360" w:lineRule="exact"/>
              <w:ind w:left="2866" w:right="854" w:hanging="2865"/>
              <w:jc w:val="left"/>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13910332067</w:t>
            </w:r>
          </w:p>
        </w:tc>
        <w:tc>
          <w:tcPr>
            <w:tcW w:w="3161" w:type="dxa"/>
            <w:shd w:val="clear" w:color="auto" w:fill="auto"/>
            <w:vAlign w:val="center"/>
          </w:tcPr>
          <w:p>
            <w:pPr>
              <w:autoSpaceDE w:val="0"/>
              <w:autoSpaceDN w:val="0"/>
              <w:adjustRightInd w:val="0"/>
              <w:spacing w:line="360" w:lineRule="exact"/>
              <w:ind w:left="2866" w:right="854" w:hanging="2865"/>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邮箱</w:t>
            </w:r>
          </w:p>
          <w:p>
            <w:pPr>
              <w:autoSpaceDE w:val="0"/>
              <w:autoSpaceDN w:val="0"/>
              <w:adjustRightInd w:val="0"/>
              <w:spacing w:line="360" w:lineRule="exact"/>
              <w:ind w:left="2866" w:right="854" w:hanging="2865"/>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yangzhiwei@</w:t>
            </w:r>
          </w:p>
          <w:p>
            <w:pPr>
              <w:autoSpaceDE w:val="0"/>
              <w:autoSpaceDN w:val="0"/>
              <w:adjustRightInd w:val="0"/>
              <w:spacing w:line="360" w:lineRule="exact"/>
              <w:ind w:left="2866" w:right="854" w:hanging="2865"/>
              <w:jc w:val="left"/>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cnilas.pumc.edu.cn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atLeast"/>
          <w:jc w:val="center"/>
        </w:trPr>
        <w:tc>
          <w:tcPr>
            <w:tcW w:w="9069" w:type="dxa"/>
            <w:gridSpan w:val="4"/>
            <w:shd w:val="clear" w:color="auto" w:fill="auto"/>
          </w:tcPr>
          <w:p>
            <w:pPr>
              <w:numPr>
                <w:ilvl w:val="0"/>
                <w:numId w:val="1"/>
              </w:numPr>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摘要（简述研究的目的和意义，主要造模方法，与临床的相似度及评价方法，概述模型的创新点和应用价值）</w:t>
            </w:r>
          </w:p>
          <w:p>
            <w:pPr>
              <w:numPr>
                <w:ilvl w:val="0"/>
                <w:numId w:val="1"/>
              </w:numPr>
              <w:rPr>
                <w:rFonts w:ascii="Times New Roman" w:hAnsi="Times New Roman" w:eastAsia="宋体" w:cs="Times New Roman"/>
                <w:sz w:val="24"/>
                <w:szCs w:val="24"/>
                <w:highlight w:val="none"/>
              </w:rPr>
            </w:pPr>
          </w:p>
          <w:p>
            <w:pPr>
              <w:numPr>
                <w:ilvl w:val="0"/>
                <w:numId w:val="0"/>
              </w:numPr>
              <w:spacing w:line="360" w:lineRule="auto"/>
              <w:rPr>
                <w:rFonts w:ascii="Times New Roman" w:hAnsi="Times New Roman" w:eastAsia="宋体" w:cs="Times New Roman"/>
                <w:sz w:val="24"/>
                <w:szCs w:val="24"/>
                <w:highlight w:val="none"/>
              </w:rPr>
            </w:pPr>
            <w:r>
              <w:rPr>
                <w:rFonts w:hint="eastAsia" w:ascii="Times New Roman" w:hAnsi="Times New Roman" w:eastAsia="宋体" w:cs="Times New Roman"/>
                <w:b/>
                <w:bCs/>
                <w:sz w:val="24"/>
                <w:szCs w:val="24"/>
                <w:highlight w:val="none"/>
              </w:rPr>
              <w:t>目的和意义：</w:t>
            </w:r>
            <w:r>
              <w:rPr>
                <w:rFonts w:hint="eastAsia" w:ascii="Times New Roman" w:hAnsi="Times New Roman" w:eastAsia="宋体" w:cs="Times New Roman"/>
                <w:sz w:val="24"/>
                <w:szCs w:val="24"/>
                <w:highlight w:val="none"/>
                <w:lang w:val="en-US" w:eastAsia="zh-CN"/>
              </w:rPr>
              <w:t>本研究旨在建立一种稳定的、可遗传的，全面反映心衰病理生理过程的心衰小鼠模型，以期为心衰发病机制的研究及其药物靶点的开发提供新方向。</w:t>
            </w:r>
          </w:p>
          <w:p>
            <w:pPr>
              <w:numPr>
                <w:ilvl w:val="255"/>
                <w:numId w:val="0"/>
              </w:numPr>
              <w:rPr>
                <w:rFonts w:ascii="Times New Roman" w:hAnsi="Times New Roman" w:eastAsia="宋体" w:cs="Times New Roman"/>
                <w:sz w:val="24"/>
                <w:szCs w:val="24"/>
                <w:highlight w:val="none"/>
              </w:rPr>
            </w:pPr>
            <w:r>
              <w:rPr>
                <w:rFonts w:hint="eastAsia" w:ascii="Times New Roman" w:hAnsi="Times New Roman" w:eastAsia="宋体" w:cs="Times New Roman"/>
                <w:b/>
                <w:bCs/>
                <w:sz w:val="24"/>
                <w:szCs w:val="24"/>
                <w:highlight w:val="none"/>
              </w:rPr>
              <w:t>主要造模方法：</w:t>
            </w:r>
            <w:r>
              <w:rPr>
                <w:rFonts w:hint="eastAsia" w:ascii="Times New Roman" w:hAnsi="Times New Roman" w:eastAsia="宋体" w:cs="Times New Roman"/>
                <w:sz w:val="24"/>
                <w:szCs w:val="24"/>
                <w:highlight w:val="none"/>
              </w:rPr>
              <w:t>使用CRISPR</w:t>
            </w:r>
            <w:r>
              <w:rPr>
                <w:rFonts w:ascii="Times New Roman" w:hAnsi="Times New Roman" w:eastAsia="宋体" w:cs="Times New Roman"/>
                <w:sz w:val="24"/>
                <w:szCs w:val="24"/>
                <w:highlight w:val="none"/>
              </w:rPr>
              <w:t xml:space="preserve"> </w:t>
            </w:r>
            <w:r>
              <w:rPr>
                <w:rFonts w:hint="eastAsia" w:ascii="Times New Roman" w:hAnsi="Times New Roman" w:eastAsia="宋体" w:cs="Times New Roman"/>
                <w:sz w:val="24"/>
                <w:szCs w:val="24"/>
                <w:highlight w:val="none"/>
              </w:rPr>
              <w:t>Cas9与floxp-Cre</w:t>
            </w:r>
            <w:r>
              <w:rPr>
                <w:rFonts w:hint="eastAsia" w:ascii="Times New Roman" w:hAnsi="Times New Roman" w:eastAsia="宋体" w:cs="Times New Roman"/>
                <w:sz w:val="24"/>
                <w:szCs w:val="24"/>
                <w:highlight w:val="none"/>
                <w:lang w:val="en-US" w:eastAsia="zh-CN"/>
              </w:rPr>
              <w:t>ERT2</w:t>
            </w:r>
            <w:r>
              <w:rPr>
                <w:rFonts w:hint="eastAsia" w:ascii="Times New Roman" w:hAnsi="Times New Roman" w:eastAsia="宋体" w:cs="Times New Roman"/>
                <w:sz w:val="24"/>
                <w:szCs w:val="24"/>
                <w:highlight w:val="none"/>
              </w:rPr>
              <w:t>系统构建</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eastAsia" w:ascii="Times New Roman" w:hAnsi="Times New Roman" w:eastAsia="宋体" w:cs="宋体"/>
                <w:color w:val="000000"/>
                <w:kern w:val="0"/>
                <w:sz w:val="24"/>
                <w:szCs w:val="24"/>
                <w:highlight w:val="none"/>
              </w:rPr>
              <w:t>基因编辑小鼠，</w:t>
            </w:r>
            <w:r>
              <w:rPr>
                <w:rFonts w:hint="eastAsia" w:ascii="Times New Roman" w:hAnsi="Times New Roman" w:eastAsia="宋体" w:cs="宋体"/>
                <w:color w:val="000000"/>
                <w:kern w:val="0"/>
                <w:sz w:val="24"/>
                <w:szCs w:val="24"/>
                <w:highlight w:val="none"/>
                <w:lang w:val="en-US" w:eastAsia="zh-CN"/>
              </w:rPr>
              <w:t>他莫昔芬诱导</w:t>
            </w:r>
            <w:r>
              <w:rPr>
                <w:rFonts w:hint="eastAsia" w:ascii="Times New Roman" w:hAnsi="Times New Roman" w:eastAsia="宋体" w:cs="宋体"/>
                <w:i/>
                <w:iCs/>
                <w:color w:val="000000"/>
                <w:kern w:val="0"/>
                <w:sz w:val="24"/>
                <w:szCs w:val="24"/>
                <w:highlight w:val="none"/>
                <w:lang w:val="en-US" w:eastAsia="zh-CN"/>
              </w:rPr>
              <w:t>Drd5</w:t>
            </w:r>
            <w:r>
              <w:rPr>
                <w:rFonts w:hint="eastAsia" w:ascii="Times New Roman" w:hAnsi="Times New Roman" w:eastAsia="宋体" w:cs="宋体"/>
                <w:color w:val="000000"/>
                <w:kern w:val="0"/>
                <w:sz w:val="24"/>
                <w:szCs w:val="24"/>
                <w:highlight w:val="none"/>
                <w:lang w:val="en-US" w:eastAsia="zh-CN"/>
              </w:rPr>
              <w:t>基因敲除6周后</w:t>
            </w:r>
            <w:r>
              <w:rPr>
                <w:rFonts w:hint="eastAsia" w:ascii="Times New Roman" w:hAnsi="Times New Roman" w:eastAsia="宋体" w:cs="宋体"/>
                <w:color w:val="000000"/>
                <w:kern w:val="0"/>
                <w:sz w:val="24"/>
                <w:szCs w:val="24"/>
                <w:highlight w:val="none"/>
              </w:rPr>
              <w:t>形成</w:t>
            </w:r>
            <w:r>
              <w:rPr>
                <w:rFonts w:hint="eastAsia" w:ascii="Times New Roman" w:hAnsi="Times New Roman" w:eastAsia="宋体" w:cs="宋体"/>
                <w:color w:val="000000"/>
                <w:kern w:val="0"/>
                <w:sz w:val="24"/>
                <w:szCs w:val="24"/>
                <w:highlight w:val="none"/>
                <w:lang w:val="en-US" w:eastAsia="zh-CN"/>
              </w:rPr>
              <w:t>心衰小鼠模型</w:t>
            </w:r>
            <w:r>
              <w:rPr>
                <w:rFonts w:hint="eastAsia" w:ascii="Times New Roman" w:hAnsi="Times New Roman" w:eastAsia="宋体" w:cs="宋体"/>
                <w:color w:val="000000"/>
                <w:kern w:val="0"/>
                <w:sz w:val="24"/>
                <w:szCs w:val="24"/>
                <w:highlight w:val="none"/>
              </w:rPr>
              <w:t>。</w:t>
            </w:r>
          </w:p>
          <w:p>
            <w:pPr>
              <w:numPr>
                <w:ilvl w:val="255"/>
                <w:numId w:val="0"/>
              </w:numPr>
              <w:rPr>
                <w:rFonts w:hint="eastAsia"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bCs/>
                <w:sz w:val="24"/>
                <w:szCs w:val="24"/>
                <w:highlight w:val="none"/>
              </w:rPr>
              <w:t>临床的相似度：</w:t>
            </w:r>
            <w:r>
              <w:rPr>
                <w:rFonts w:hint="eastAsia" w:ascii="Times New Roman" w:hAnsi="Times New Roman" w:eastAsia="宋体" w:cs="Times New Roman"/>
                <w:b w:val="0"/>
                <w:bCs w:val="0"/>
                <w:sz w:val="24"/>
                <w:szCs w:val="24"/>
                <w:highlight w:val="none"/>
                <w:lang w:val="en-US" w:eastAsia="zh-CN"/>
              </w:rPr>
              <w:t xml:space="preserve">小鼠心脏 </w:t>
            </w:r>
            <w:r>
              <w:rPr>
                <w:rFonts w:hint="default" w:ascii="Times New Roman" w:hAnsi="Times New Roman" w:eastAsia="宋体" w:cs="Times New Roman"/>
                <w:b w:val="0"/>
                <w:bCs w:val="0"/>
                <w:i/>
                <w:iCs/>
                <w:sz w:val="24"/>
                <w:szCs w:val="24"/>
                <w:highlight w:val="none"/>
                <w:lang w:val="en-US" w:eastAsia="zh-CN"/>
              </w:rPr>
              <w:t>Drd5</w:t>
            </w:r>
            <w:r>
              <w:rPr>
                <w:rFonts w:hint="default" w:ascii="Times New Roman" w:hAnsi="Times New Roman" w:eastAsia="宋体" w:cs="Times New Roman"/>
                <w:b w:val="0"/>
                <w:bCs w:val="0"/>
                <w:sz w:val="24"/>
                <w:szCs w:val="24"/>
                <w:highlight w:val="none"/>
                <w:lang w:val="en-US" w:eastAsia="zh-CN"/>
              </w:rPr>
              <w:t>基因</w:t>
            </w:r>
            <w:r>
              <w:rPr>
                <w:rFonts w:hint="eastAsia" w:ascii="Times New Roman" w:hAnsi="Times New Roman" w:eastAsia="宋体" w:cs="Times New Roman"/>
                <w:b w:val="0"/>
                <w:bCs w:val="0"/>
                <w:sz w:val="24"/>
                <w:szCs w:val="24"/>
                <w:highlight w:val="none"/>
                <w:lang w:val="en-US" w:eastAsia="zh-CN"/>
              </w:rPr>
              <w:t>敲除后能够引起心脏出现从心肌肥厚向心衰进展的表型，表现出心肌组织纤维化、氧化应激水平加剧。</w:t>
            </w:r>
            <w:r>
              <w:rPr>
                <w:rFonts w:hint="default" w:ascii="Times New Roman" w:hAnsi="Times New Roman" w:eastAsia="宋体" w:cs="Times New Roman"/>
                <w:b w:val="0"/>
                <w:bCs w:val="0"/>
                <w:sz w:val="24"/>
                <w:szCs w:val="24"/>
                <w:highlight w:val="none"/>
                <w:lang w:val="en-US" w:eastAsia="zh-CN"/>
              </w:rPr>
              <w:t>经Apocynin、Tempol和Mito-TEMPO抗氧化处理可显著</w:t>
            </w:r>
            <w:r>
              <w:rPr>
                <w:rFonts w:hint="eastAsia" w:ascii="Times New Roman" w:hAnsi="Times New Roman" w:eastAsia="宋体" w:cs="Times New Roman"/>
                <w:b w:val="0"/>
                <w:bCs w:val="0"/>
                <w:sz w:val="24"/>
                <w:szCs w:val="24"/>
                <w:highlight w:val="none"/>
                <w:lang w:val="en-US" w:eastAsia="zh-CN"/>
              </w:rPr>
              <w:t>改善</w:t>
            </w:r>
            <w:r>
              <w:rPr>
                <w:rFonts w:hint="default" w:ascii="Times New Roman" w:hAnsi="Times New Roman" w:eastAsia="宋体" w:cs="Times New Roman"/>
                <w:b w:val="0"/>
                <w:bCs w:val="0"/>
                <w:sz w:val="24"/>
                <w:szCs w:val="24"/>
                <w:highlight w:val="none"/>
                <w:lang w:val="en-US" w:eastAsia="zh-CN"/>
              </w:rPr>
              <w:t>心肌肥大和纤维化，</w:t>
            </w:r>
            <w:r>
              <w:rPr>
                <w:rFonts w:hint="eastAsia" w:ascii="Times New Roman" w:hAnsi="Times New Roman" w:eastAsia="宋体" w:cs="Times New Roman"/>
                <w:b w:val="0"/>
                <w:bCs w:val="0"/>
                <w:sz w:val="24"/>
                <w:szCs w:val="24"/>
                <w:highlight w:val="none"/>
                <w:lang w:val="en-US" w:eastAsia="zh-CN"/>
              </w:rPr>
              <w:t>与临床</w:t>
            </w:r>
            <w:r>
              <w:rPr>
                <w:rFonts w:hint="default" w:ascii="Times New Roman" w:hAnsi="Times New Roman" w:eastAsia="宋体" w:cs="Times New Roman"/>
                <w:b w:val="0"/>
                <w:bCs w:val="0"/>
                <w:sz w:val="24"/>
                <w:szCs w:val="24"/>
                <w:highlight w:val="none"/>
                <w:lang w:val="en-US" w:eastAsia="zh-CN"/>
              </w:rPr>
              <w:t>心力衰竭的</w:t>
            </w:r>
            <w:r>
              <w:rPr>
                <w:rFonts w:hint="eastAsia" w:ascii="Times New Roman" w:hAnsi="Times New Roman" w:eastAsia="宋体" w:cs="Times New Roman"/>
                <w:b w:val="0"/>
                <w:bCs w:val="0"/>
                <w:sz w:val="24"/>
                <w:szCs w:val="24"/>
                <w:highlight w:val="none"/>
                <w:lang w:val="en-US" w:eastAsia="zh-CN"/>
              </w:rPr>
              <w:t>症状</w:t>
            </w:r>
            <w:r>
              <w:rPr>
                <w:rFonts w:hint="default" w:ascii="Times New Roman" w:hAnsi="Times New Roman" w:eastAsia="宋体" w:cs="Times New Roman"/>
                <w:b w:val="0"/>
                <w:bCs w:val="0"/>
                <w:sz w:val="24"/>
                <w:szCs w:val="24"/>
                <w:highlight w:val="none"/>
                <w:lang w:val="en-US" w:eastAsia="zh-CN"/>
              </w:rPr>
              <w:t>高度</w:t>
            </w:r>
            <w:r>
              <w:rPr>
                <w:rFonts w:hint="eastAsia" w:ascii="Times New Roman" w:hAnsi="Times New Roman" w:eastAsia="宋体" w:cs="Times New Roman"/>
                <w:b w:val="0"/>
                <w:bCs w:val="0"/>
                <w:sz w:val="24"/>
                <w:szCs w:val="24"/>
                <w:highlight w:val="none"/>
                <w:lang w:val="en-US" w:eastAsia="zh-CN"/>
              </w:rPr>
              <w:t>相似</w:t>
            </w:r>
            <w:r>
              <w:rPr>
                <w:rFonts w:hint="default" w:ascii="Times New Roman" w:hAnsi="Times New Roman" w:eastAsia="宋体" w:cs="Times New Roman"/>
                <w:b w:val="0"/>
                <w:bCs w:val="0"/>
                <w:sz w:val="24"/>
                <w:szCs w:val="24"/>
                <w:highlight w:val="none"/>
                <w:lang w:val="en-US" w:eastAsia="zh-CN"/>
              </w:rPr>
              <w:t>。</w:t>
            </w:r>
          </w:p>
          <w:p>
            <w:pPr>
              <w:numPr>
                <w:ilvl w:val="255"/>
                <w:numId w:val="0"/>
              </w:numP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b/>
                <w:bCs/>
                <w:sz w:val="24"/>
                <w:szCs w:val="24"/>
                <w:highlight w:val="none"/>
              </w:rPr>
              <w:t>评价方法：</w:t>
            </w:r>
            <w:r>
              <w:rPr>
                <w:rFonts w:hint="eastAsia" w:ascii="Times New Roman" w:hAnsi="Times New Roman" w:eastAsia="宋体" w:cs="Times New Roman"/>
                <w:b w:val="0"/>
                <w:bCs w:val="0"/>
                <w:sz w:val="24"/>
                <w:szCs w:val="24"/>
                <w:highlight w:val="none"/>
                <w:lang w:val="en-US" w:eastAsia="zh-CN"/>
              </w:rPr>
              <w:t>通过应用小动物超声仪分析系统、无创尾袖血压分析仪检测小鼠心功能和血压值，生化分析仪检测血清心功能、肝功能及肾功能指标，病理组化及WGA染色分析心肌组织纤维化及心肌细胞大小，同时结合Westernblot和qRT-PCR技术分析心肌纤维化标志物及线粒体氧化应激和呼吸链复合物的蛋白及mRNA水平。</w:t>
            </w:r>
          </w:p>
          <w:p>
            <w:pPr>
              <w:rPr>
                <w:rFonts w:ascii="Times New Roman" w:hAnsi="Times New Roman" w:eastAsia="宋体" w:cs="Times New Roman"/>
                <w:b/>
                <w:bCs/>
                <w:sz w:val="24"/>
                <w:szCs w:val="24"/>
                <w:highlight w:val="none"/>
              </w:rPr>
            </w:pPr>
            <w:r>
              <w:rPr>
                <w:rFonts w:hint="eastAsia" w:ascii="Times New Roman" w:hAnsi="Times New Roman" w:eastAsia="宋体" w:cs="Times New Roman"/>
                <w:b/>
                <w:bCs/>
                <w:sz w:val="24"/>
                <w:szCs w:val="24"/>
                <w:highlight w:val="none"/>
              </w:rPr>
              <w:t>创新点及应用价值：</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default" w:ascii="Times New Roman" w:hAnsi="Times New Roman" w:eastAsia="宋体" w:cs="Times New Roman"/>
                <w:b w:val="0"/>
                <w:bCs w:val="0"/>
                <w:sz w:val="24"/>
                <w:szCs w:val="24"/>
                <w:highlight w:val="none"/>
                <w:lang w:val="en-US" w:eastAsia="zh-CN"/>
              </w:rPr>
              <w:t>小鼠可以稳定地发展为</w:t>
            </w:r>
            <w:r>
              <w:rPr>
                <w:rFonts w:hint="eastAsia" w:ascii="Times New Roman" w:hAnsi="Times New Roman" w:eastAsia="宋体" w:cs="Times New Roman"/>
                <w:b w:val="0"/>
                <w:bCs w:val="0"/>
                <w:sz w:val="24"/>
                <w:szCs w:val="24"/>
                <w:highlight w:val="none"/>
                <w:lang w:val="en-US" w:eastAsia="zh-CN"/>
              </w:rPr>
              <w:t>左心室肥厚进展</w:t>
            </w:r>
            <w:r>
              <w:rPr>
                <w:rFonts w:hint="default" w:ascii="Times New Roman" w:hAnsi="Times New Roman" w:eastAsia="宋体" w:cs="Times New Roman"/>
                <w:b w:val="0"/>
                <w:bCs w:val="0"/>
                <w:sz w:val="24"/>
                <w:szCs w:val="24"/>
                <w:highlight w:val="none"/>
                <w:lang w:val="en-US" w:eastAsia="zh-CN"/>
              </w:rPr>
              <w:t>心力衰竭。经Apocynin、Tempol和Mito-TEMPO抗氧化处理可显著</w:t>
            </w:r>
            <w:r>
              <w:rPr>
                <w:rFonts w:hint="eastAsia" w:ascii="Times New Roman" w:hAnsi="Times New Roman" w:eastAsia="宋体" w:cs="Times New Roman"/>
                <w:b w:val="0"/>
                <w:bCs w:val="0"/>
                <w:sz w:val="24"/>
                <w:szCs w:val="24"/>
                <w:highlight w:val="none"/>
                <w:lang w:val="en-US" w:eastAsia="zh-CN"/>
              </w:rPr>
              <w:t>改善</w:t>
            </w:r>
            <w:r>
              <w:rPr>
                <w:rFonts w:hint="default" w:ascii="Times New Roman" w:hAnsi="Times New Roman" w:eastAsia="宋体" w:cs="Times New Roman"/>
                <w:b w:val="0"/>
                <w:bCs w:val="0"/>
                <w:sz w:val="24"/>
                <w:szCs w:val="24"/>
                <w:highlight w:val="none"/>
                <w:lang w:val="en-US" w:eastAsia="zh-CN"/>
              </w:rPr>
              <w:t>心</w:t>
            </w:r>
            <w:r>
              <w:rPr>
                <w:rFonts w:hint="eastAsia" w:ascii="Times New Roman" w:hAnsi="Times New Roman" w:eastAsia="宋体" w:cs="Times New Roman"/>
                <w:b w:val="0"/>
                <w:bCs w:val="0"/>
                <w:sz w:val="24"/>
                <w:szCs w:val="24"/>
                <w:highlight w:val="none"/>
                <w:lang w:val="en-US" w:eastAsia="zh-CN"/>
              </w:rPr>
              <w:t>功能</w:t>
            </w:r>
            <w:r>
              <w:rPr>
                <w:rFonts w:hint="default" w:ascii="Times New Roman" w:hAnsi="Times New Roman" w:eastAsia="宋体" w:cs="Times New Roman"/>
                <w:b w:val="0"/>
                <w:bCs w:val="0"/>
                <w:sz w:val="24"/>
                <w:szCs w:val="24"/>
                <w:highlight w:val="none"/>
                <w:lang w:val="en-US" w:eastAsia="zh-CN"/>
              </w:rPr>
              <w:t>和纤维化，证实</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default" w:ascii="Times New Roman" w:hAnsi="Times New Roman" w:eastAsia="宋体" w:cs="Times New Roman"/>
                <w:b w:val="0"/>
                <w:bCs w:val="0"/>
                <w:sz w:val="24"/>
                <w:szCs w:val="24"/>
                <w:highlight w:val="none"/>
                <w:lang w:val="en-US" w:eastAsia="zh-CN"/>
              </w:rPr>
              <w:t>小鼠可作为一种新型心力衰竭动物模型，在异常氧化应激相关的</w:t>
            </w:r>
            <w:r>
              <w:rPr>
                <w:rFonts w:hint="eastAsia" w:ascii="Times New Roman" w:hAnsi="Times New Roman" w:eastAsia="宋体" w:cs="Times New Roman"/>
                <w:b w:val="0"/>
                <w:bCs w:val="0"/>
                <w:sz w:val="24"/>
                <w:szCs w:val="24"/>
                <w:highlight w:val="none"/>
                <w:lang w:val="en-US" w:eastAsia="zh-CN"/>
              </w:rPr>
              <w:t>心衰</w:t>
            </w:r>
            <w:r>
              <w:rPr>
                <w:rFonts w:hint="default" w:ascii="Times New Roman" w:hAnsi="Times New Roman" w:eastAsia="宋体" w:cs="Times New Roman"/>
                <w:b w:val="0"/>
                <w:bCs w:val="0"/>
                <w:sz w:val="24"/>
                <w:szCs w:val="24"/>
                <w:highlight w:val="none"/>
                <w:lang w:val="en-US" w:eastAsia="zh-CN"/>
              </w:rPr>
              <w:t>药物研究和临床前评价中具有重要价值。</w:t>
            </w:r>
          </w:p>
          <w:p>
            <w:pPr>
              <w:numPr>
                <w:ilvl w:val="255"/>
                <w:numId w:val="0"/>
              </w:numPr>
              <w:rPr>
                <w:rFonts w:ascii="Times New Roman" w:hAnsi="Times New Roman" w:eastAsia="宋体" w:cs="Times New Roman"/>
                <w:sz w:val="24"/>
                <w:szCs w:val="24"/>
                <w:highlight w:val="none"/>
              </w:rPr>
            </w:pPr>
          </w:p>
          <w:p>
            <w:pPr>
              <w:numPr>
                <w:ilvl w:val="0"/>
                <w:numId w:val="1"/>
              </w:numPr>
              <w:ind w:left="0" w:leftChars="0" w:firstLine="0" w:firstLineChars="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研究报告正文（可以附件形式编制，编制要点附后）</w:t>
            </w:r>
          </w:p>
          <w:p>
            <w:pPr>
              <w:numPr>
                <w:ilvl w:val="0"/>
                <w:numId w:val="0"/>
              </w:numPr>
              <w:ind w:leftChars="0"/>
              <w:rPr>
                <w:rFonts w:hint="eastAsia" w:ascii="Times New Roman" w:hAnsi="Times New Roman" w:eastAsia="宋体" w:cs="Times New Roman"/>
                <w:sz w:val="24"/>
                <w:szCs w:val="24"/>
                <w:highlight w:val="none"/>
              </w:rPr>
            </w:pPr>
          </w:p>
          <w:p>
            <w:pPr>
              <w:rPr>
                <w:rFonts w:ascii="Times New Roman" w:hAnsi="Times New Roman" w:eastAsia="宋体" w:cs="Times New Roman"/>
                <w:b/>
                <w:bCs/>
                <w:sz w:val="24"/>
                <w:szCs w:val="24"/>
                <w:highlight w:val="none"/>
              </w:rPr>
            </w:pPr>
            <w:r>
              <w:rPr>
                <w:rFonts w:hint="eastAsia" w:ascii="Times New Roman" w:hAnsi="Times New Roman" w:eastAsia="宋体" w:cs="Times New Roman"/>
                <w:b/>
                <w:bCs/>
                <w:sz w:val="24"/>
                <w:szCs w:val="24"/>
                <w:highlight w:val="none"/>
              </w:rPr>
              <w:t>动物模型命名</w:t>
            </w:r>
          </w:p>
          <w:p>
            <w:pP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可诱导型心脏</w:t>
            </w:r>
            <w:r>
              <w:rPr>
                <w:rFonts w:hint="eastAsia" w:ascii="Times New Roman" w:hAnsi="Times New Roman" w:eastAsia="宋体" w:cs="Times New Roman"/>
                <w:i/>
                <w:iCs/>
                <w:color w:val="000000" w:themeColor="text1"/>
                <w:sz w:val="24"/>
                <w:szCs w:val="24"/>
                <w:highlight w:val="none"/>
                <w:lang w:val="en-US" w:eastAsia="zh-CN"/>
                <w14:textFill>
                  <w14:solidFill>
                    <w14:schemeClr w14:val="tx1"/>
                  </w14:solidFill>
                </w14:textFill>
              </w:rPr>
              <w:t>Drd5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基因特异性</w:t>
            </w:r>
            <w:r>
              <w:rPr>
                <w:rFonts w:hint="eastAsia" w:ascii="Times New Roman" w:hAnsi="Times New Roman" w:eastAsia="宋体" w:cs="Times New Roman"/>
                <w:color w:val="000000" w:themeColor="text1"/>
                <w:sz w:val="24"/>
                <w:szCs w:val="24"/>
                <w:highlight w:val="none"/>
                <w14:textFill>
                  <w14:solidFill>
                    <w14:schemeClr w14:val="tx1"/>
                  </w14:solidFill>
                </w14:textFill>
              </w:rPr>
              <w:t>敲除小鼠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心衰</w:t>
            </w:r>
            <w:r>
              <w:rPr>
                <w:rFonts w:hint="eastAsia" w:ascii="Times New Roman" w:hAnsi="Times New Roman" w:eastAsia="宋体" w:cs="Times New Roman"/>
                <w:color w:val="000000" w:themeColor="text1"/>
                <w:sz w:val="24"/>
                <w:szCs w:val="24"/>
                <w:highlight w:val="none"/>
                <w14:textFill>
                  <w14:solidFill>
                    <w14:schemeClr w14:val="tx1"/>
                  </w14:solidFill>
                </w14:textFill>
              </w:rPr>
              <w:t>模型</w:t>
            </w:r>
          </w:p>
          <w:p>
            <w:pPr>
              <w:autoSpaceDE w:val="0"/>
              <w:autoSpaceDN w:val="0"/>
              <w:adjustRightInd w:val="0"/>
              <w:spacing w:before="104"/>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Inducible Cardiac-specific </w:t>
            </w:r>
            <w:r>
              <w:rPr>
                <w:rFonts w:hint="eastAsia" w:ascii="Times New Roman" w:hAnsi="Times New Roman" w:eastAsia="宋体" w:cs="Times New Roman"/>
                <w:i/>
                <w:iCs/>
                <w:color w:val="000000" w:themeColor="text1"/>
                <w:sz w:val="24"/>
                <w:szCs w:val="24"/>
                <w:highlight w:val="none"/>
                <w:lang w:val="en-US" w:eastAsia="zh-CN"/>
                <w14:textFill>
                  <w14:solidFill>
                    <w14:schemeClr w14:val="tx1"/>
                  </w14:solidFill>
                </w14:textFill>
              </w:rPr>
              <w:t>Drd5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K</w:t>
            </w:r>
            <w:r>
              <w:rPr>
                <w:rFonts w:hint="eastAsia" w:ascii="Times New Roman" w:hAnsi="Times New Roman" w:eastAsia="宋体" w:cs="Times New Roman"/>
                <w:color w:val="000000" w:themeColor="text1"/>
                <w:sz w:val="24"/>
                <w:szCs w:val="24"/>
                <w:highlight w:val="none"/>
                <w14:textFill>
                  <w14:solidFill>
                    <w14:schemeClr w14:val="tx1"/>
                  </w14:solidFill>
                </w14:textFill>
              </w:rPr>
              <w:t>nockout</w:t>
            </w:r>
            <w:r>
              <w:rPr>
                <w:rFonts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Mice</w:t>
            </w:r>
            <w:r>
              <w:rPr>
                <w:rFonts w:ascii="Times New Roman" w:hAnsi="Times New Roman" w:eastAsia="宋体" w:cs="Times New Roman"/>
                <w:color w:val="000000" w:themeColor="text1"/>
                <w:kern w:val="0"/>
                <w:sz w:val="24"/>
                <w:szCs w:val="24"/>
                <w:highlight w:val="none"/>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Heart Failure M</w:t>
            </w:r>
            <w:r>
              <w:rPr>
                <w:rFonts w:ascii="Times New Roman" w:hAnsi="Times New Roman" w:eastAsia="宋体" w:cs="Times New Roman"/>
                <w:color w:val="000000" w:themeColor="text1"/>
                <w:kern w:val="0"/>
                <w:sz w:val="24"/>
                <w:szCs w:val="24"/>
                <w:highlight w:val="none"/>
                <w14:textFill>
                  <w14:solidFill>
                    <w14:schemeClr w14:val="tx1"/>
                  </w14:solidFill>
                </w14:textFill>
              </w:rPr>
              <w:t>odel</w:t>
            </w:r>
          </w:p>
          <w:p>
            <w:pPr>
              <w:autoSpaceDE w:val="0"/>
              <w:autoSpaceDN w:val="0"/>
              <w:adjustRightInd w:val="0"/>
              <w:spacing w:before="104"/>
              <w:jc w:val="center"/>
              <w:rPr>
                <w:rFonts w:ascii="Times New Roman" w:hAnsi="Times New Roman" w:eastAsia="宋体" w:cs="宋体"/>
                <w:color w:val="000000"/>
                <w:kern w:val="0"/>
                <w:sz w:val="24"/>
                <w:szCs w:val="24"/>
                <w:highlight w:val="none"/>
              </w:rPr>
            </w:pPr>
          </w:p>
          <w:p>
            <w:pPr>
              <w:autoSpaceDE w:val="0"/>
              <w:autoSpaceDN w:val="0"/>
              <w:adjustRightInd w:val="0"/>
              <w:spacing w:before="104"/>
              <w:jc w:val="left"/>
              <w:rPr>
                <w:rFonts w:ascii="Times New Roman" w:hAnsi="Times New Roman" w:eastAsia="宋体" w:cs="宋体"/>
                <w:b/>
                <w:bCs/>
                <w:color w:val="000000"/>
                <w:kern w:val="0"/>
                <w:sz w:val="24"/>
                <w:szCs w:val="24"/>
                <w:highlight w:val="none"/>
              </w:rPr>
            </w:pPr>
            <w:r>
              <w:rPr>
                <w:rFonts w:hint="eastAsia" w:ascii="Times New Roman" w:hAnsi="Times New Roman" w:eastAsia="宋体" w:cs="宋体"/>
                <w:b/>
                <w:bCs/>
                <w:color w:val="000000"/>
                <w:kern w:val="0"/>
                <w:sz w:val="24"/>
                <w:szCs w:val="24"/>
                <w:highlight w:val="none"/>
              </w:rPr>
              <w:t>研究背景</w:t>
            </w:r>
          </w:p>
          <w:p>
            <w:pPr>
              <w:autoSpaceDE w:val="0"/>
              <w:autoSpaceDN w:val="0"/>
              <w:adjustRightInd w:val="0"/>
              <w:spacing w:before="104"/>
              <w:jc w:val="left"/>
              <w:rPr>
                <w:rFonts w:ascii="Times New Roman" w:hAnsi="Times New Roman" w:eastAsia="宋体" w:cs="宋体"/>
                <w:color w:val="000000"/>
                <w:kern w:val="0"/>
                <w:sz w:val="24"/>
                <w:szCs w:val="24"/>
                <w:highlight w:val="none"/>
              </w:rPr>
            </w:pPr>
            <w:r>
              <w:rPr>
                <w:rFonts w:hint="eastAsia" w:ascii="Times New Roman" w:hAnsi="Times New Roman" w:eastAsia="宋体" w:cs="宋体"/>
                <w:color w:val="000000"/>
                <w:kern w:val="0"/>
                <w:sz w:val="24"/>
                <w:szCs w:val="24"/>
                <w:highlight w:val="none"/>
              </w:rPr>
              <w:t>1.目的及意义</w:t>
            </w:r>
          </w:p>
          <w:p>
            <w:pPr>
              <w:autoSpaceDE w:val="0"/>
              <w:autoSpaceDN w:val="0"/>
              <w:adjustRightInd w:val="0"/>
              <w:spacing w:before="104"/>
              <w:ind w:firstLine="480" w:firstLineChars="200"/>
              <w:jc w:val="left"/>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本研究旨在建立一种稳定的、可遗传的，全面反映心衰病理生理过程的心衰小鼠模型，以期为心衰发病机制的研究及其药物靶点的开发提供新方向。</w:t>
            </w:r>
          </w:p>
          <w:p>
            <w:pPr>
              <w:autoSpaceDE w:val="0"/>
              <w:autoSpaceDN w:val="0"/>
              <w:adjustRightInd w:val="0"/>
              <w:spacing w:before="104"/>
              <w:jc w:val="left"/>
              <w:rPr>
                <w:rFonts w:ascii="Times New Roman" w:hAnsi="Times New Roman" w:eastAsia="宋体" w:cs="宋体"/>
                <w:color w:val="000000"/>
                <w:kern w:val="0"/>
                <w:sz w:val="24"/>
                <w:szCs w:val="24"/>
                <w:highlight w:val="none"/>
              </w:rPr>
            </w:pPr>
            <w:r>
              <w:rPr>
                <w:rFonts w:hint="eastAsia" w:ascii="Times New Roman" w:hAnsi="Times New Roman" w:eastAsia="宋体" w:cs="宋体"/>
                <w:color w:val="000000"/>
                <w:kern w:val="0"/>
                <w:sz w:val="24"/>
                <w:szCs w:val="24"/>
                <w:highlight w:val="none"/>
              </w:rPr>
              <w:t>2.国内外研究现状</w:t>
            </w:r>
          </w:p>
          <w:p>
            <w:pPr>
              <w:numPr>
                <w:ilvl w:val="0"/>
                <w:numId w:val="0"/>
              </w:numPr>
              <w:spacing w:line="24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心衰（heart failure, HF）是所有心脏疾病的终末症状，已成为全球首要死因[1,2]。目前，心衰的临床治疗主要侧重于缓解疾病症状，并不能有效阻断疾病进程[3,4]。心衰实验动物模型是探究疾病病理机制的有效工具，对于制定有效的治疗策略至关重要[5]。</w:t>
            </w:r>
          </w:p>
          <w:p>
            <w:pPr>
              <w:numPr>
                <w:ilvl w:val="0"/>
                <w:numId w:val="0"/>
              </w:numPr>
              <w:spacing w:line="24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经过数十年发展，心衰动物模型的构建方法不断完善，目前构建心衰实验动物模型的方法主要分三类：基因修饰、药物诱导和手术方法（左/右心室压力负荷加重，容量超载，缺血性损伤和快速起搏等），这三类方法单独或联合均可构建[6]。动物模型的质量控制对研究心衰发病机制至关重要，以往报道的动物模型中不断发现的问题一定程度上制约着该领域研究的进步[7,8]。例如，手术构建的心衰模型主要通过心肌梗死，后负荷增加，缺血再灌注等方式增加心肌应激压力迅速引发心衰，这一过程除了将造成心肌损伤外，还将叠加炎症及外科创伤等效应，使模型的病理机制不够精确[7]；其次，药物诱导的心衰，将不可避免地引起其他器官（肝、肺、肾等）的损伤[8]，更重要的是，这些药理学过程导致心脏稳态的快速变化，并不能准确地反映人类心力衰竭的渐进式进展[7-10]；此外，一些转基因心衰小鼠模型通过调节肌动蛋白的变化导致心衰，并不能全面地模拟心衰进展而限制了其应用。因此，构建一种能遗传，表型稳定的心衰小鼠模型已成为亟待解决的问题。</w:t>
            </w:r>
          </w:p>
          <w:p>
            <w:pPr>
              <w:numPr>
                <w:ilvl w:val="0"/>
                <w:numId w:val="0"/>
              </w:numPr>
              <w:spacing w:line="24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多巴胺D5受体</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Dopamine D5 receptor</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D5R</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是多巴胺受体的五种亚型之一，具有</w:t>
            </w:r>
            <w:r>
              <w:rPr>
                <w:rFonts w:hint="eastAsia" w:ascii="Times New Roman" w:hAnsi="Times New Roman" w:eastAsia="宋体" w:cs="Times New Roman"/>
                <w:sz w:val="24"/>
                <w:szCs w:val="24"/>
                <w:highlight w:val="none"/>
                <w:lang w:val="en-US" w:eastAsia="zh-CN"/>
              </w:rPr>
              <w:t>持续的</w:t>
            </w:r>
            <w:r>
              <w:rPr>
                <w:rFonts w:hint="default" w:ascii="Times New Roman" w:hAnsi="Times New Roman" w:eastAsia="宋体" w:cs="Times New Roman"/>
                <w:sz w:val="24"/>
                <w:szCs w:val="24"/>
                <w:highlight w:val="none"/>
                <w:lang w:val="en-US" w:eastAsia="zh-CN"/>
              </w:rPr>
              <w:t>活性</w:t>
            </w:r>
            <w:r>
              <w:rPr>
                <w:rFonts w:hint="eastAsia" w:ascii="Times New Roman" w:hAnsi="Times New Roman" w:eastAsia="宋体" w:cs="Times New Roman"/>
                <w:sz w:val="24"/>
                <w:szCs w:val="24"/>
                <w:highlight w:val="none"/>
                <w:lang w:val="en-US" w:eastAsia="zh-CN"/>
              </w:rPr>
              <w:t>[11]</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前期</w:t>
            </w:r>
            <w:r>
              <w:rPr>
                <w:rFonts w:hint="default" w:ascii="Times New Roman" w:hAnsi="Times New Roman" w:eastAsia="宋体" w:cs="Times New Roman"/>
                <w:sz w:val="24"/>
                <w:szCs w:val="24"/>
                <w:highlight w:val="none"/>
                <w:lang w:val="en-US" w:eastAsia="zh-CN"/>
              </w:rPr>
              <w:t>研究表明，在心力衰竭患者心肌</w:t>
            </w:r>
            <w:r>
              <w:rPr>
                <w:rFonts w:hint="eastAsia" w:ascii="Times New Roman" w:hAnsi="Times New Roman" w:eastAsia="宋体" w:cs="Times New Roman"/>
                <w:sz w:val="24"/>
                <w:szCs w:val="24"/>
                <w:highlight w:val="none"/>
                <w:lang w:val="en-US" w:eastAsia="zh-CN"/>
              </w:rPr>
              <w:t>组织</w:t>
            </w:r>
            <w:r>
              <w:rPr>
                <w:rFonts w:hint="default" w:ascii="Times New Roman" w:hAnsi="Times New Roman" w:eastAsia="宋体" w:cs="Times New Roman"/>
                <w:sz w:val="24"/>
                <w:szCs w:val="24"/>
                <w:highlight w:val="none"/>
                <w:lang w:val="en-US" w:eastAsia="zh-CN"/>
              </w:rPr>
              <w:t>中，心脏D5R的表达明显降低。特异性</w:t>
            </w:r>
            <w:r>
              <w:rPr>
                <w:rFonts w:hint="eastAsia" w:ascii="Times New Roman" w:hAnsi="Times New Roman" w:eastAsia="宋体" w:cs="Times New Roman"/>
                <w:sz w:val="24"/>
                <w:szCs w:val="24"/>
                <w:highlight w:val="none"/>
                <w:lang w:val="en-US" w:eastAsia="zh-CN"/>
              </w:rPr>
              <w:t>的增加</w:t>
            </w:r>
            <w:r>
              <w:rPr>
                <w:rFonts w:hint="default" w:ascii="Times New Roman" w:hAnsi="Times New Roman" w:eastAsia="宋体" w:cs="Times New Roman"/>
                <w:sz w:val="24"/>
                <w:szCs w:val="24"/>
                <w:highlight w:val="none"/>
                <w:lang w:val="en-US" w:eastAsia="zh-CN"/>
              </w:rPr>
              <w:t>心脏D5R</w:t>
            </w:r>
            <w:r>
              <w:rPr>
                <w:rFonts w:hint="eastAsia" w:ascii="Times New Roman" w:hAnsi="Times New Roman" w:eastAsia="宋体" w:cs="Times New Roman"/>
                <w:sz w:val="24"/>
                <w:szCs w:val="24"/>
                <w:highlight w:val="none"/>
                <w:lang w:val="en-US" w:eastAsia="zh-CN"/>
              </w:rPr>
              <w:t>的</w:t>
            </w:r>
            <w:r>
              <w:rPr>
                <w:rFonts w:hint="default" w:ascii="Times New Roman" w:hAnsi="Times New Roman" w:eastAsia="宋体" w:cs="Times New Roman"/>
                <w:sz w:val="24"/>
                <w:szCs w:val="24"/>
                <w:highlight w:val="none"/>
                <w:lang w:val="en-US" w:eastAsia="zh-CN"/>
              </w:rPr>
              <w:t>表达</w:t>
            </w:r>
            <w:r>
              <w:rPr>
                <w:rFonts w:hint="eastAsia" w:ascii="Times New Roman" w:hAnsi="Times New Roman" w:eastAsia="宋体" w:cs="Times New Roman"/>
                <w:sz w:val="24"/>
                <w:szCs w:val="24"/>
                <w:highlight w:val="none"/>
                <w:lang w:val="en-US" w:eastAsia="zh-CN"/>
              </w:rPr>
              <w:t>能够</w:t>
            </w:r>
            <w:r>
              <w:rPr>
                <w:rFonts w:hint="default" w:ascii="Times New Roman" w:hAnsi="Times New Roman" w:eastAsia="宋体" w:cs="Times New Roman"/>
                <w:sz w:val="24"/>
                <w:szCs w:val="24"/>
                <w:highlight w:val="none"/>
                <w:lang w:val="en-US" w:eastAsia="zh-CN"/>
              </w:rPr>
              <w:t>通过防止氧化和内质网</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ER</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应激以及改善自噬失调来减轻心脏肥大和纤维化，通过多种机制有效预防心力衰竭的发生</w:t>
            </w:r>
            <w:r>
              <w:rPr>
                <w:rFonts w:hint="eastAsia"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相反，</w:t>
            </w:r>
            <w:r>
              <w:rPr>
                <w:rFonts w:hint="default" w:ascii="Times New Roman" w:hAnsi="Times New Roman" w:eastAsia="宋体" w:cs="Times New Roman"/>
                <w:sz w:val="24"/>
                <w:szCs w:val="24"/>
                <w:highlight w:val="none"/>
                <w:lang w:val="en-US" w:eastAsia="zh-CN"/>
              </w:rPr>
              <w:t>小鼠</w:t>
            </w:r>
            <w:r>
              <w:rPr>
                <w:rFonts w:hint="eastAsia" w:ascii="Times New Roman" w:hAnsi="Times New Roman" w:eastAsia="宋体" w:cs="Times New Roman"/>
                <w:sz w:val="24"/>
                <w:szCs w:val="24"/>
                <w:highlight w:val="none"/>
                <w:lang w:val="en-US" w:eastAsia="zh-CN"/>
              </w:rPr>
              <w:t>全身</w:t>
            </w:r>
            <w:r>
              <w:rPr>
                <w:rFonts w:hint="default" w:ascii="Times New Roman" w:hAnsi="Times New Roman" w:eastAsia="宋体" w:cs="Times New Roman"/>
                <w:sz w:val="24"/>
                <w:szCs w:val="24"/>
                <w:highlight w:val="none"/>
                <w:lang w:val="en-US" w:eastAsia="zh-CN"/>
              </w:rPr>
              <w:t>敲除</w:t>
            </w:r>
            <w:r>
              <w:rPr>
                <w:rFonts w:hint="default"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sz w:val="24"/>
                <w:szCs w:val="24"/>
                <w:highlight w:val="none"/>
                <w:lang w:val="en-US" w:eastAsia="zh-CN"/>
              </w:rPr>
              <w:t>基因</w:t>
            </w:r>
            <w:r>
              <w:rPr>
                <w:rFonts w:hint="default" w:ascii="Times New Roman" w:hAnsi="Times New Roman" w:eastAsia="宋体" w:cs="Times New Roman"/>
                <w:sz w:val="24"/>
                <w:szCs w:val="24"/>
                <w:highlight w:val="none"/>
                <w:lang w:val="en-US" w:eastAsia="zh-CN"/>
              </w:rPr>
              <w:t>后，</w:t>
            </w:r>
            <w:r>
              <w:rPr>
                <w:rFonts w:hint="eastAsia" w:ascii="Times New Roman" w:hAnsi="Times New Roman" w:eastAsia="宋体" w:cs="Times New Roman"/>
                <w:sz w:val="24"/>
                <w:szCs w:val="24"/>
                <w:highlight w:val="none"/>
                <w:lang w:val="en-US" w:eastAsia="zh-CN"/>
              </w:rPr>
              <w:t>能够引起</w:t>
            </w:r>
            <w:r>
              <w:rPr>
                <w:rFonts w:hint="default" w:ascii="Times New Roman" w:hAnsi="Times New Roman" w:eastAsia="宋体" w:cs="Times New Roman"/>
                <w:sz w:val="24"/>
                <w:szCs w:val="24"/>
                <w:highlight w:val="none"/>
                <w:lang w:val="en-US" w:eastAsia="zh-CN"/>
              </w:rPr>
              <w:t>心肌肥大</w:t>
            </w:r>
            <w:r>
              <w:rPr>
                <w:rFonts w:hint="eastAsia" w:ascii="Times New Roman" w:hAnsi="Times New Roman" w:eastAsia="宋体" w:cs="Times New Roman"/>
                <w:sz w:val="24"/>
                <w:szCs w:val="24"/>
                <w:highlight w:val="none"/>
                <w:lang w:val="en-US" w:eastAsia="zh-CN"/>
              </w:rPr>
              <w:t>的发生[13]</w:t>
            </w:r>
            <w:r>
              <w:rPr>
                <w:rFonts w:hint="default" w:ascii="Times New Roman" w:hAnsi="Times New Roman" w:eastAsia="宋体" w:cs="Times New Roman"/>
                <w:sz w:val="24"/>
                <w:szCs w:val="24"/>
                <w:highlight w:val="none"/>
                <w:lang w:val="en-US" w:eastAsia="zh-CN"/>
              </w:rPr>
              <w:t>。因此，心脏</w:t>
            </w:r>
            <w:r>
              <w:rPr>
                <w:rFonts w:hint="default" w:ascii="Times New Roman" w:hAnsi="Times New Roman" w:eastAsia="宋体" w:cs="Times New Roman"/>
                <w:i/>
                <w:iCs/>
                <w:sz w:val="24"/>
                <w:szCs w:val="24"/>
                <w:highlight w:val="none"/>
                <w:lang w:val="en-US" w:eastAsia="zh-CN"/>
              </w:rPr>
              <w:t>Drd5</w:t>
            </w:r>
            <w:r>
              <w:rPr>
                <w:rFonts w:hint="default" w:ascii="Times New Roman" w:hAnsi="Times New Roman" w:eastAsia="宋体" w:cs="Times New Roman"/>
                <w:sz w:val="24"/>
                <w:szCs w:val="24"/>
                <w:highlight w:val="none"/>
                <w:lang w:val="en-US" w:eastAsia="zh-CN"/>
              </w:rPr>
              <w:t>可能是一种新的基因修饰靶点，</w:t>
            </w:r>
            <w:r>
              <w:rPr>
                <w:rFonts w:hint="eastAsia" w:ascii="Times New Roman" w:hAnsi="Times New Roman" w:eastAsia="宋体" w:cs="Times New Roman"/>
                <w:sz w:val="24"/>
                <w:szCs w:val="24"/>
                <w:highlight w:val="none"/>
                <w:lang w:val="en-US" w:eastAsia="zh-CN"/>
              </w:rPr>
              <w:t>可用于构建一种稳定的心衰小鼠模型</w:t>
            </w:r>
            <w:r>
              <w:rPr>
                <w:rFonts w:hint="default" w:ascii="Times New Roman" w:hAnsi="Times New Roman" w:eastAsia="宋体" w:cs="Times New Roman"/>
                <w:sz w:val="24"/>
                <w:szCs w:val="24"/>
                <w:highlight w:val="none"/>
                <w:lang w:val="en-US" w:eastAsia="zh-CN"/>
              </w:rPr>
              <w:t>。</w:t>
            </w:r>
          </w:p>
          <w:p>
            <w:pPr>
              <w:numPr>
                <w:ilvl w:val="0"/>
                <w:numId w:val="0"/>
              </w:numPr>
              <w:spacing w:line="24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本研究旨在通过CRISPR/Cas 9技术构建</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小鼠，利用腹腔注射他莫昔芬，条件性敲除小鼠心脏多巴胺D5受体，制作一种表型稳定并能遗传的心衰小鼠模型。经证实该小鼠模型能够表现出从心肌肥厚到心衰的表型，同时心肌组织出现氧化应激激活增加和纤维化。抗氧化剂（Apocynin, Tempol, mitto-tempo）治疗可显著挽救心肌肥厚和纤维化，这表明</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i/>
                <w:iCs/>
                <w:sz w:val="24"/>
                <w:szCs w:val="24"/>
                <w:highlight w:val="none"/>
                <w:lang w:val="en-US" w:eastAsia="zh-CN"/>
              </w:rPr>
              <w:t xml:space="preserve"> </w:t>
            </w:r>
            <w:r>
              <w:rPr>
                <w:rFonts w:hint="eastAsia" w:ascii="Times New Roman" w:hAnsi="Times New Roman" w:eastAsia="宋体" w:cs="Times New Roman"/>
                <w:sz w:val="24"/>
                <w:szCs w:val="24"/>
                <w:highlight w:val="none"/>
                <w:lang w:val="en-US" w:eastAsia="zh-CN"/>
              </w:rPr>
              <w:t>myh6-creERT2小鼠可作为一种新型心力衰竭动物模型，在氧化应激相关的药物研究和临床前评价中具有重要价值。</w:t>
            </w:r>
          </w:p>
          <w:p>
            <w:pPr>
              <w:autoSpaceDE w:val="0"/>
              <w:autoSpaceDN w:val="0"/>
              <w:adjustRightInd w:val="0"/>
              <w:spacing w:before="104"/>
              <w:rPr>
                <w:rFonts w:hint="eastAsia" w:ascii="Times New Roman" w:hAnsi="Times New Roman" w:eastAsia="宋体" w:cs="Times New Roman"/>
                <w:b/>
                <w:bCs/>
                <w:iCs/>
                <w:kern w:val="0"/>
                <w:sz w:val="24"/>
                <w:szCs w:val="24"/>
                <w:highlight w:val="none"/>
                <w:lang w:val="en-US" w:eastAsia="zh-CN"/>
              </w:rPr>
            </w:pPr>
            <w:r>
              <w:rPr>
                <w:rFonts w:hint="eastAsia" w:ascii="Times New Roman" w:hAnsi="Times New Roman" w:eastAsia="宋体" w:cs="Times New Roman"/>
                <w:b/>
                <w:bCs/>
                <w:iCs/>
                <w:kern w:val="0"/>
                <w:sz w:val="24"/>
                <w:szCs w:val="24"/>
                <w:highlight w:val="none"/>
                <w:lang w:val="en-US" w:eastAsia="zh-CN"/>
              </w:rPr>
              <w:t>参考文献：</w:t>
            </w:r>
          </w:p>
          <w:p>
            <w:pPr>
              <w:keepNext w:val="0"/>
              <w:keepLines w:val="0"/>
              <w:widowControl/>
              <w:suppressLineNumbers w:val="0"/>
              <w:jc w:val="left"/>
              <w:rPr>
                <w:rFonts w:hint="default" w:ascii="Times New Roman" w:hAnsi="Times New Roman" w:cs="Times New Roman"/>
                <w:color w:val="000000" w:themeColor="text1"/>
                <w:sz w:val="36"/>
                <w:szCs w:val="40"/>
                <w:highlight w:val="none"/>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[1] A. Groenewegen, F.H. Rutten, A. Mosterd, A.W. Hoes, Epidemiology of heart failure, Eur. J. Heart Fail. 22 (2020) 1342</w:t>
            </w:r>
            <w:r>
              <w:rPr>
                <w:rFonts w:hint="default" w:ascii="Times New Roman" w:hAnsi="Times New Roman" w:eastAsia="STIX-Regular" w:cs="Times New Roman"/>
                <w:color w:val="000000" w:themeColor="text1"/>
                <w:kern w:val="0"/>
                <w:sz w:val="20"/>
                <w:szCs w:val="20"/>
                <w:highlight w:val="none"/>
                <w:lang w:val="en-US" w:eastAsia="zh-CN" w:bidi="ar"/>
                <w14:textFill>
                  <w14:solidFill>
                    <w14:schemeClr w14:val="tx1"/>
                  </w14:solidFill>
                </w14:textFill>
              </w:rPr>
              <w:t>–</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1356. </w:t>
            </w:r>
          </w:p>
          <w:p>
            <w:pPr>
              <w:keepNext w:val="0"/>
              <w:keepLines w:val="0"/>
              <w:widowControl/>
              <w:suppressLineNumbers w:val="0"/>
              <w:jc w:val="left"/>
              <w:rPr>
                <w:rFonts w:hint="default" w:ascii="Times New Roman" w:hAnsi="Times New Roman" w:cs="Times New Roman"/>
                <w:color w:val="000000" w:themeColor="text1"/>
                <w:sz w:val="36"/>
                <w:szCs w:val="40"/>
                <w:highlight w:val="none"/>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[2] W. Bo, Y. Ma, Y. Xi, Q. Liang, M. Cai, Z. Tian, The roles of FGF21 and ALCAT1 in aerobic exercise-induced cardioprotection of postmyocardial infarction mice, Oxidative Med. Cell. Longev. 2021 (2021), 8996482. </w:t>
            </w:r>
          </w:p>
          <w:p>
            <w:pPr>
              <w:keepNext w:val="0"/>
              <w:keepLines w:val="0"/>
              <w:widowControl/>
              <w:suppressLineNumbers w:val="0"/>
              <w:jc w:val="left"/>
              <w:rPr>
                <w:rFonts w:hint="default" w:ascii="Times New Roman" w:hAnsi="Times New Roman" w:cs="Times New Roman"/>
                <w:color w:val="000000" w:themeColor="text1"/>
                <w:sz w:val="36"/>
                <w:szCs w:val="40"/>
                <w:highlight w:val="none"/>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[3] H. Bueno, B. Moura, P. Lancellotti, J. Bauersachs, The year in cardiovascular medicine 2020: heart failure and cardiomyopathies, Eur. Heart J. 42 (2021) 657</w:t>
            </w:r>
            <w:r>
              <w:rPr>
                <w:rFonts w:hint="default" w:ascii="Times New Roman" w:hAnsi="Times New Roman" w:eastAsia="STIX-Regular" w:cs="Times New Roman"/>
                <w:color w:val="000000" w:themeColor="text1"/>
                <w:kern w:val="0"/>
                <w:sz w:val="20"/>
                <w:szCs w:val="20"/>
                <w:highlight w:val="none"/>
                <w:lang w:val="en-US" w:eastAsia="zh-CN" w:bidi="ar"/>
                <w14:textFill>
                  <w14:solidFill>
                    <w14:schemeClr w14:val="tx1"/>
                  </w14:solidFill>
                </w14:textFill>
              </w:rPr>
              <w:t>–</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670. </w:t>
            </w:r>
          </w:p>
          <w:p>
            <w:pPr>
              <w:keepNext w:val="0"/>
              <w:keepLines w:val="0"/>
              <w:widowControl/>
              <w:suppressLineNumbers w:val="0"/>
              <w:jc w:val="left"/>
              <w:rPr>
                <w:rFonts w:hint="default" w:ascii="Times New Roman" w:hAnsi="Times New Roman" w:cs="Times New Roman"/>
                <w:color w:val="000000" w:themeColor="text1"/>
                <w:sz w:val="36"/>
                <w:szCs w:val="40"/>
                <w:highlight w:val="none"/>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[4] T.A. McDonagh, M. Metra, M. Adamo, R.S. Gardner, A. Baumbach, M. Bohm, et al., 2021 ESC Guidelines for the diagnosis and treatment of acute and chronic heart failure. Developed by the Task Force for the diagnosis and treatment of acute and chronic heart failure of the European Society of Cardiology (ESC). With the special contribution of the Heart Failure Association (HFA) of the ESC, G. Ital. Cardiol. (Rome). 23 (2022) e1</w:t>
            </w:r>
            <w:r>
              <w:rPr>
                <w:rFonts w:hint="default" w:ascii="Times New Roman" w:hAnsi="Times New Roman" w:eastAsia="STIX-Regular" w:cs="Times New Roman"/>
                <w:color w:val="000000" w:themeColor="text1"/>
                <w:kern w:val="0"/>
                <w:sz w:val="20"/>
                <w:szCs w:val="20"/>
                <w:highlight w:val="none"/>
                <w:lang w:val="en-US" w:eastAsia="zh-CN" w:bidi="ar"/>
                <w14:textFill>
                  <w14:solidFill>
                    <w14:schemeClr w14:val="tx1"/>
                  </w14:solidFill>
                </w14:textFill>
              </w:rPr>
              <w:t>–</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127. </w:t>
            </w:r>
          </w:p>
          <w:p>
            <w:pPr>
              <w:keepNext w:val="0"/>
              <w:keepLines w:val="0"/>
              <w:widowControl/>
              <w:suppressLineNumbers w:val="0"/>
              <w:jc w:val="left"/>
              <w:rPr>
                <w:rFonts w:hint="default" w:ascii="Times New Roman" w:hAnsi="Times New Roman" w:cs="Times New Roman"/>
                <w:color w:val="000000" w:themeColor="text1"/>
                <w:sz w:val="36"/>
                <w:szCs w:val="40"/>
                <w:highlight w:val="none"/>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w:t>
            </w:r>
            <w:r>
              <w:rPr>
                <w:rFonts w:hint="eastAsia"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5</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C. Riehle, J. Bauersachs, Small animal models of heart failure, Cardiovasc. Res. 115 (2019) 1838</w:t>
            </w:r>
            <w:r>
              <w:rPr>
                <w:rFonts w:hint="default" w:ascii="Times New Roman" w:hAnsi="Times New Roman" w:eastAsia="STIX-Regular" w:cs="Times New Roman"/>
                <w:color w:val="000000" w:themeColor="text1"/>
                <w:kern w:val="0"/>
                <w:sz w:val="20"/>
                <w:szCs w:val="20"/>
                <w:highlight w:val="none"/>
                <w:lang w:val="en-US" w:eastAsia="zh-CN" w:bidi="ar"/>
                <w14:textFill>
                  <w14:solidFill>
                    <w14:schemeClr w14:val="tx1"/>
                  </w14:solidFill>
                </w14:textFill>
              </w:rPr>
              <w:t>–</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1849. </w:t>
            </w:r>
          </w:p>
          <w:p>
            <w:pPr>
              <w:keepNext w:val="0"/>
              <w:keepLines w:val="0"/>
              <w:widowControl/>
              <w:suppressLineNumbers w:val="0"/>
              <w:jc w:val="left"/>
              <w:rPr>
                <w:rFonts w:hint="default" w:ascii="Times New Roman" w:hAnsi="Times New Roman" w:cs="Times New Roman"/>
                <w:color w:val="000000" w:themeColor="text1"/>
                <w:sz w:val="36"/>
                <w:szCs w:val="40"/>
                <w:highlight w:val="none"/>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w:t>
            </w:r>
            <w:r>
              <w:rPr>
                <w:rFonts w:hint="eastAsia"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6</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J. Chen, D.K. Ceholski, I.C. Turnbull, L. Liang, R.J. Hajjar, Ischemic model of heart failure in rats and mice, Methods Mol. Biol. 1816 (2018) 175</w:t>
            </w:r>
            <w:r>
              <w:rPr>
                <w:rFonts w:hint="default" w:ascii="Times New Roman" w:hAnsi="Times New Roman" w:eastAsia="STIX-Regular" w:cs="Times New Roman"/>
                <w:color w:val="000000" w:themeColor="text1"/>
                <w:kern w:val="0"/>
                <w:sz w:val="20"/>
                <w:szCs w:val="20"/>
                <w:highlight w:val="none"/>
                <w:lang w:val="en-US" w:eastAsia="zh-CN" w:bidi="ar"/>
                <w14:textFill>
                  <w14:solidFill>
                    <w14:schemeClr w14:val="tx1"/>
                  </w14:solidFill>
                </w14:textFill>
              </w:rPr>
              <w:t>–</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182. </w:t>
            </w:r>
          </w:p>
          <w:p>
            <w:pPr>
              <w:keepNext w:val="0"/>
              <w:keepLines w:val="0"/>
              <w:widowControl/>
              <w:suppressLineNumbers w:val="0"/>
              <w:jc w:val="left"/>
              <w:rPr>
                <w:rFonts w:hint="default" w:ascii="Times New Roman" w:hAnsi="Times New Roman" w:cs="Times New Roman"/>
                <w:color w:val="000000" w:themeColor="text1"/>
                <w:sz w:val="36"/>
                <w:szCs w:val="40"/>
                <w:highlight w:val="none"/>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w:t>
            </w:r>
            <w:r>
              <w:rPr>
                <w:rFonts w:hint="eastAsia"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7</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A.O. Melleby, A. Romaine, J.M. Aronsen, I. Veras, L. Zhang, I. Sjaastad, et al., A novel method for high precision aortic constriction that allows for generation of specific cardiac phenotypes in mice, Cardiovasc. Res. 114 (2018) 1680</w:t>
            </w:r>
            <w:r>
              <w:rPr>
                <w:rFonts w:hint="default" w:ascii="Times New Roman" w:hAnsi="Times New Roman" w:eastAsia="STIX-Regular" w:cs="Times New Roman"/>
                <w:color w:val="000000" w:themeColor="text1"/>
                <w:kern w:val="0"/>
                <w:sz w:val="20"/>
                <w:szCs w:val="20"/>
                <w:highlight w:val="none"/>
                <w:lang w:val="en-US" w:eastAsia="zh-CN" w:bidi="ar"/>
                <w14:textFill>
                  <w14:solidFill>
                    <w14:schemeClr w14:val="tx1"/>
                  </w14:solidFill>
                </w14:textFill>
              </w:rPr>
              <w:t>–</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1690. </w:t>
            </w:r>
          </w:p>
          <w:p>
            <w:pPr>
              <w:keepNext w:val="0"/>
              <w:keepLines w:val="0"/>
              <w:widowControl/>
              <w:suppressLineNumbers w:val="0"/>
              <w:jc w:val="left"/>
              <w:rPr>
                <w:rFonts w:hint="default" w:ascii="Times New Roman" w:hAnsi="Times New Roman" w:cs="Times New Roman"/>
                <w:color w:val="000000" w:themeColor="text1"/>
                <w:sz w:val="36"/>
                <w:szCs w:val="40"/>
                <w:highlight w:val="none"/>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w:t>
            </w:r>
            <w:r>
              <w:rPr>
                <w:rFonts w:hint="eastAsia"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8</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V. Lee, A.K. Randhawa, P.K. Singal, Adriamycin-induced myocardial dysfunction in vitro is mediated by free radicals, Am. J. Phys. 261 (1991) H989</w:t>
            </w:r>
            <w:r>
              <w:rPr>
                <w:rFonts w:hint="default" w:ascii="Times New Roman" w:hAnsi="Times New Roman" w:eastAsia="STIX-Regular" w:cs="Times New Roman"/>
                <w:color w:val="000000" w:themeColor="text1"/>
                <w:kern w:val="0"/>
                <w:sz w:val="20"/>
                <w:szCs w:val="20"/>
                <w:highlight w:val="none"/>
                <w:lang w:val="en-US" w:eastAsia="zh-CN" w:bidi="ar"/>
                <w14:textFill>
                  <w14:solidFill>
                    <w14:schemeClr w14:val="tx1"/>
                  </w14:solidFill>
                </w14:textFill>
              </w:rPr>
              <w:t>–</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H995. </w:t>
            </w:r>
          </w:p>
          <w:p>
            <w:pPr>
              <w:keepNext w:val="0"/>
              <w:keepLines w:val="0"/>
              <w:widowControl/>
              <w:suppressLineNumbers w:val="0"/>
              <w:jc w:val="left"/>
              <w:rPr>
                <w:rFonts w:hint="default" w:ascii="Times New Roman" w:hAnsi="Times New Roman" w:cs="Times New Roman"/>
                <w:color w:val="000000" w:themeColor="text1"/>
                <w:sz w:val="36"/>
                <w:szCs w:val="40"/>
                <w:highlight w:val="none"/>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w:t>
            </w:r>
            <w:r>
              <w:rPr>
                <w:rFonts w:hint="eastAsia"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9</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N. Matsumura, B.N. Zordoky, I.M. Robertson, S.M. Hamza, N. Parajuli, C.M. Soltys, et al.,</w:t>
            </w:r>
            <w:r>
              <w:rPr>
                <w:rFonts w:hint="eastAsia"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 </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Co-administration of resveratrol with doxorubicin in young mice attenuates detrimental late-occurring cardiovascular changes, Cardiovasc. Res. 114 (2018) 1350</w:t>
            </w:r>
            <w:r>
              <w:rPr>
                <w:rFonts w:hint="default" w:ascii="Times New Roman" w:hAnsi="Times New Roman" w:eastAsia="STIX-Regular" w:cs="Times New Roman"/>
                <w:color w:val="000000" w:themeColor="text1"/>
                <w:kern w:val="0"/>
                <w:sz w:val="20"/>
                <w:szCs w:val="20"/>
                <w:highlight w:val="none"/>
                <w:lang w:val="en-US" w:eastAsia="zh-CN" w:bidi="ar"/>
                <w14:textFill>
                  <w14:solidFill>
                    <w14:schemeClr w14:val="tx1"/>
                  </w14:solidFill>
                </w14:textFill>
              </w:rPr>
              <w:t>–</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1359. </w:t>
            </w:r>
          </w:p>
          <w:p>
            <w:pPr>
              <w:keepNext w:val="0"/>
              <w:keepLines w:val="0"/>
              <w:widowControl/>
              <w:suppressLineNumbers w:val="0"/>
              <w:jc w:val="left"/>
              <w:rPr>
                <w:rFonts w:hint="default" w:ascii="Times New Roman" w:hAnsi="Times New Roman" w:cs="Times New Roman"/>
                <w:color w:val="000000" w:themeColor="text1"/>
                <w:sz w:val="36"/>
                <w:szCs w:val="40"/>
                <w:highlight w:val="none"/>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[1</w:t>
            </w:r>
            <w:r>
              <w:rPr>
                <w:rFonts w:hint="eastAsia"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0</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 F.H. Silva, F. Veiga, A.G. Mora, R.S. Heck, C.C. De Oliveira, A. Gambero, et al., A novel experimental model of erectile dysfunction in rats with heart failure using volume overload, PLoS One 12 (2017), e187083. </w:t>
            </w:r>
          </w:p>
          <w:p>
            <w:pPr>
              <w:keepNext w:val="0"/>
              <w:keepLines w:val="0"/>
              <w:widowControl/>
              <w:suppressLineNumbers w:val="0"/>
              <w:jc w:val="left"/>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[1</w:t>
            </w:r>
            <w:r>
              <w:rPr>
                <w:rFonts w:hint="eastAsia"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1</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 Z. Yang, D.R. Sibley, P.A. Jose, D5 dopamine receptor knockout mice and hypertension, J. Recept. Signal Transduct. Res. 24 (2004) 149–164. </w:t>
            </w:r>
          </w:p>
          <w:p>
            <w:pPr>
              <w:keepNext w:val="0"/>
              <w:keepLines w:val="0"/>
              <w:widowControl/>
              <w:suppressLineNumbers w:val="0"/>
              <w:jc w:val="left"/>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[1</w:t>
            </w:r>
            <w:r>
              <w:rPr>
                <w:rFonts w:hint="eastAsia"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2</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 X. Jiang, M. Shao, X. Liu, X. Liu, X. Zhang, Y. Wang, et al., Reversible treatment of pressure overload-induced left ventricular hypertrophy through Drd5 nucleic acid delivery mediated by functional polyaminoglycoside, Adv. Sci. (Weinh). 8 (2021) 2003706. </w:t>
            </w:r>
          </w:p>
          <w:p>
            <w:pPr>
              <w:keepNext w:val="0"/>
              <w:keepLines w:val="0"/>
              <w:widowControl/>
              <w:suppressLineNumbers w:val="0"/>
              <w:jc w:val="left"/>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[1</w:t>
            </w:r>
            <w:r>
              <w:rPr>
                <w:rFonts w:hint="eastAsia"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3</w:t>
            </w:r>
            <w:r>
              <w:rPr>
                <w:rFonts w:hint="default" w:ascii="Times New Roman" w:hAnsi="Times New Roman" w:eastAsia="CharisSIL" w:cs="Times New Roman"/>
                <w:color w:val="000000" w:themeColor="text1"/>
                <w:kern w:val="0"/>
                <w:sz w:val="20"/>
                <w:szCs w:val="20"/>
                <w:highlight w:val="none"/>
                <w:lang w:val="en-US" w:eastAsia="zh-CN" w:bidi="ar"/>
                <w14:textFill>
                  <w14:solidFill>
                    <w14:schemeClr w14:val="tx1"/>
                  </w14:solidFill>
                </w14:textFill>
              </w:rPr>
              <w:t xml:space="preserve">] T.R. Hollon, M.J. Bek, J.E. Lachowicz, M.A. Ariano, E. Mezey, R. Ramachandran, et al., Mice lacking D5 dopamine receptors have increased sympathetic tone and are hypertensive, J. Neurosci. 22 (2002) 10801–10810. </w:t>
            </w:r>
          </w:p>
          <w:p>
            <w:pPr>
              <w:autoSpaceDE w:val="0"/>
              <w:autoSpaceDN w:val="0"/>
              <w:adjustRightInd w:val="0"/>
              <w:spacing w:before="104"/>
              <w:rPr>
                <w:rFonts w:hint="eastAsia" w:ascii="Times New Roman" w:hAnsi="Times New Roman" w:eastAsia="宋体" w:cs="Times New Roman"/>
                <w:b/>
                <w:bCs/>
                <w:iCs/>
                <w:kern w:val="0"/>
                <w:sz w:val="24"/>
                <w:szCs w:val="24"/>
                <w:highlight w:val="none"/>
                <w:lang w:val="en-US" w:eastAsia="zh-CN"/>
              </w:rPr>
            </w:pPr>
          </w:p>
          <w:p>
            <w:pPr>
              <w:autoSpaceDE w:val="0"/>
              <w:autoSpaceDN w:val="0"/>
              <w:adjustRightInd w:val="0"/>
              <w:spacing w:before="104"/>
              <w:rPr>
                <w:rFonts w:hint="eastAsia" w:ascii="Times New Roman" w:hAnsi="Times New Roman" w:eastAsia="宋体" w:cs="Times New Roman"/>
                <w:b/>
                <w:bCs/>
                <w:iCs/>
                <w:kern w:val="0"/>
                <w:sz w:val="24"/>
                <w:szCs w:val="24"/>
                <w:highlight w:val="none"/>
                <w:lang w:val="en-US" w:eastAsia="zh-CN"/>
              </w:rPr>
            </w:pPr>
          </w:p>
          <w:p>
            <w:pPr>
              <w:autoSpaceDE w:val="0"/>
              <w:autoSpaceDN w:val="0"/>
              <w:adjustRightInd w:val="0"/>
              <w:spacing w:before="104"/>
              <w:rPr>
                <w:rFonts w:hint="eastAsia" w:ascii="Times New Roman" w:hAnsi="Times New Roman" w:eastAsia="宋体" w:cs="Times New Roman"/>
                <w:b/>
                <w:bCs/>
                <w:iCs/>
                <w:kern w:val="0"/>
                <w:sz w:val="24"/>
                <w:szCs w:val="24"/>
                <w:highlight w:val="none"/>
              </w:rPr>
            </w:pPr>
            <w:r>
              <w:rPr>
                <w:rFonts w:hint="eastAsia" w:ascii="Times New Roman" w:hAnsi="Times New Roman" w:eastAsia="宋体" w:cs="Times New Roman"/>
                <w:b/>
                <w:bCs/>
                <w:iCs/>
                <w:kern w:val="0"/>
                <w:sz w:val="24"/>
                <w:szCs w:val="24"/>
                <w:highlight w:val="none"/>
              </w:rPr>
              <w:t>动物模型制备方法</w:t>
            </w:r>
          </w:p>
          <w:p>
            <w:pPr>
              <w:pStyle w:val="9"/>
              <w:numPr>
                <w:ilvl w:val="0"/>
                <w:numId w:val="0"/>
              </w:numPr>
              <w:autoSpaceDE w:val="0"/>
              <w:autoSpaceDN w:val="0"/>
              <w:adjustRightInd w:val="0"/>
              <w:spacing w:before="1"/>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i/>
                <w:iCs/>
                <w:sz w:val="24"/>
                <w:szCs w:val="24"/>
                <w:highlight w:val="none"/>
                <w:lang w:val="en-US" w:eastAsia="zh-CN"/>
              </w:rPr>
              <w:t>1、Drd5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eastAsia" w:ascii="Times New Roman" w:hAnsi="Times New Roman" w:eastAsia="宋体" w:cs="Times New Roman"/>
                <w:kern w:val="0"/>
                <w:sz w:val="24"/>
                <w:szCs w:val="24"/>
                <w:highlight w:val="none"/>
                <w:lang w:val="en-US" w:eastAsia="zh-CN"/>
              </w:rPr>
              <w:t>小鼠构建</w:t>
            </w:r>
          </w:p>
          <w:p>
            <w:pPr>
              <w:pStyle w:val="9"/>
              <w:numPr>
                <w:ilvl w:val="0"/>
                <w:numId w:val="0"/>
              </w:numPr>
              <w:shd w:val="clea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① 分析</w:t>
            </w:r>
            <w:r>
              <w:rPr>
                <w:rFonts w:hint="default"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kern w:val="0"/>
                <w:sz w:val="24"/>
                <w:szCs w:val="24"/>
                <w:highlight w:val="none"/>
                <w:lang w:val="en-US" w:eastAsia="zh-CN"/>
              </w:rPr>
              <w:t>的基因信息，在NCBI 找出其mRNA为 NM_013503.4，选择将外显子Exon1（aa1-477）用loxP序列锚定上。</w:t>
            </w:r>
          </w:p>
          <w:p>
            <w:pPr>
              <w:pStyle w:val="9"/>
              <w:numPr>
                <w:ilvl w:val="0"/>
                <w:numId w:val="0"/>
              </w:numPr>
              <w:shd w:val="clea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② 在exon1后面的内含子寻找合适的gRNA序列（5'ATAACTTCGTATAGC ATACATTATACGAAGTTAT 3'）分析确定后合成序列，使用MEGA shortscript™ T7 Kit（Life Technologies）试剂盒完成转录。</w:t>
            </w:r>
          </w:p>
          <w:p>
            <w:pPr>
              <w:pStyle w:val="9"/>
              <w:numPr>
                <w:ilvl w:val="0"/>
                <w:numId w:val="0"/>
              </w:numPr>
              <w:shd w:val="clea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③ Cas9通过mGE mMACHINE® T7 ULTRA Kit（Life Technologies）试剂盒完成转录。</w:t>
            </w:r>
          </w:p>
          <w:p>
            <w:pPr>
              <w:pStyle w:val="9"/>
              <w:numPr>
                <w:ilvl w:val="0"/>
                <w:numId w:val="0"/>
              </w:numPr>
              <w:shd w:val="clea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④ 将gRNA和Cas9体外转录出的RNA及打靶载体一起注射到受精卵中，移植到假孕母鼠，出生后进行PCR鉴定，测序确定loxP序列锚定成功的小鼠。选择只在一条染色体上锚定成功的小鼠进行繁殖，子代间交配，即可筛选得到</w:t>
            </w:r>
            <w:r>
              <w:rPr>
                <w:rFonts w:hint="eastAsia" w:ascii="Times New Roman" w:hAnsi="Times New Roman" w:eastAsia="宋体" w:cs="Times New Roman"/>
                <w:i/>
                <w:iCs/>
                <w:kern w:val="0"/>
                <w:sz w:val="24"/>
                <w:szCs w:val="24"/>
                <w:highlight w:val="none"/>
                <w:lang w:val="en-US" w:eastAsia="zh-CN"/>
              </w:rPr>
              <w:t>Drd5</w:t>
            </w:r>
            <w:r>
              <w:rPr>
                <w:rFonts w:hint="eastAsia" w:ascii="Times New Roman" w:hAnsi="Times New Roman" w:eastAsia="宋体" w:cs="Times New Roman"/>
                <w:i/>
                <w:iCs/>
                <w:kern w:val="0"/>
                <w:sz w:val="24"/>
                <w:szCs w:val="24"/>
                <w:highlight w:val="none"/>
                <w:vertAlign w:val="superscript"/>
                <w:lang w:val="en-US" w:eastAsia="zh-CN"/>
              </w:rPr>
              <w:t>floxp/floxp</w:t>
            </w:r>
            <w:r>
              <w:rPr>
                <w:rFonts w:hint="eastAsia" w:ascii="Times New Roman" w:hAnsi="Times New Roman" w:eastAsia="宋体" w:cs="Times New Roman"/>
                <w:kern w:val="0"/>
                <w:sz w:val="24"/>
                <w:szCs w:val="24"/>
                <w:highlight w:val="none"/>
                <w:lang w:val="en-US" w:eastAsia="zh-CN"/>
              </w:rPr>
              <w:t>小鼠。</w:t>
            </w:r>
          </w:p>
          <w:p>
            <w:pPr>
              <w:pStyle w:val="9"/>
              <w:numPr>
                <w:ilvl w:val="0"/>
                <w:numId w:val="0"/>
              </w:numPr>
              <w:autoSpaceDE w:val="0"/>
              <w:autoSpaceDN w:val="0"/>
              <w:adjustRightInd w:val="0"/>
              <w:spacing w:before="1"/>
              <w:jc w:val="left"/>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⑤ 将</w:t>
            </w:r>
            <w:r>
              <w:rPr>
                <w:rFonts w:hint="eastAsia" w:ascii="Times New Roman" w:hAnsi="Times New Roman" w:eastAsia="宋体" w:cs="Times New Roman"/>
                <w:i/>
                <w:iCs/>
                <w:kern w:val="0"/>
                <w:sz w:val="24"/>
                <w:szCs w:val="24"/>
                <w:highlight w:val="none"/>
                <w:lang w:val="en-US" w:eastAsia="zh-CN"/>
              </w:rPr>
              <w:t>Drd5</w:t>
            </w:r>
            <w:r>
              <w:rPr>
                <w:rFonts w:hint="eastAsia" w:ascii="Times New Roman" w:hAnsi="Times New Roman" w:eastAsia="宋体" w:cs="Times New Roman"/>
                <w:i/>
                <w:iCs/>
                <w:kern w:val="0"/>
                <w:sz w:val="24"/>
                <w:szCs w:val="24"/>
                <w:highlight w:val="none"/>
                <w:vertAlign w:val="superscript"/>
                <w:lang w:val="en-US" w:eastAsia="zh-CN"/>
              </w:rPr>
              <w:t>floxp/floxp</w:t>
            </w:r>
            <w:r>
              <w:rPr>
                <w:rFonts w:hint="eastAsia" w:ascii="Times New Roman" w:hAnsi="Times New Roman" w:eastAsia="宋体" w:cs="Times New Roman"/>
                <w:kern w:val="0"/>
                <w:sz w:val="24"/>
                <w:szCs w:val="24"/>
                <w:highlight w:val="none"/>
                <w:lang w:val="en-US" w:eastAsia="zh-CN"/>
              </w:rPr>
              <w:t>雄性小鼠与带有心肌细胞特异性Cre的雌性小鼠（Myh6 Cre）交配繁殖，Cre介导两个loxP位点序列的重组，引起两个loxP位点间的DNA序列缺失，从而制备出心肌特异</w:t>
            </w:r>
            <w:r>
              <w:rPr>
                <w:rFonts w:hint="eastAsia" w:ascii="Times New Roman" w:hAnsi="Times New Roman" w:eastAsia="宋体" w:cs="Times New Roman"/>
                <w:i/>
                <w:iCs/>
                <w:kern w:val="0"/>
                <w:sz w:val="24"/>
                <w:szCs w:val="24"/>
                <w:highlight w:val="none"/>
                <w:lang w:val="en-US" w:eastAsia="zh-CN"/>
              </w:rPr>
              <w:t>Drd5</w:t>
            </w:r>
            <w:r>
              <w:rPr>
                <w:rFonts w:hint="eastAsia" w:ascii="Times New Roman" w:hAnsi="Times New Roman" w:eastAsia="宋体" w:cs="Times New Roman"/>
                <w:kern w:val="0"/>
                <w:sz w:val="24"/>
                <w:szCs w:val="24"/>
                <w:highlight w:val="none"/>
                <w:lang w:val="en-US" w:eastAsia="zh-CN"/>
              </w:rPr>
              <w:t>基因敲除的小鼠（</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eastAsia" w:ascii="Times New Roman" w:hAnsi="Times New Roman" w:eastAsia="宋体" w:cs="Times New Roman"/>
                <w:kern w:val="0"/>
                <w:sz w:val="24"/>
                <w:szCs w:val="24"/>
                <w:highlight w:val="none"/>
                <w:lang w:val="en-US" w:eastAsia="zh-CN"/>
              </w:rPr>
              <w:t>，而该基因在其他组织和细胞中表达正常（思路图见下）。</w:t>
            </w: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r>
              <w:rPr>
                <w:rFonts w:hint="eastAsia"/>
                <w:highlight w:val="none"/>
                <w:lang w:val="en-US" w:eastAsia="zh-CN"/>
              </w:rPr>
              <w:t xml:space="preserve">                   </w:t>
            </w:r>
            <w:r>
              <w:rPr>
                <w:rFonts w:hint="eastAsia" w:ascii="Times New Roman" w:hAnsi="Times New Roman" w:eastAsia="宋体" w:cs="宋体"/>
                <w:b w:val="0"/>
                <w:bCs w:val="0"/>
                <w:color w:val="000000"/>
                <w:kern w:val="0"/>
                <w:sz w:val="24"/>
                <w:szCs w:val="24"/>
                <w:highlight w:val="none"/>
                <w:lang w:val="en-US" w:eastAsia="zh-CN"/>
              </w:rPr>
              <w:drawing>
                <wp:inline distT="0" distB="0" distL="114300" distR="114300">
                  <wp:extent cx="2467610" cy="1924685"/>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2467610" cy="1924685"/>
                          </a:xfrm>
                          <a:prstGeom prst="rect">
                            <a:avLst/>
                          </a:prstGeom>
                        </pic:spPr>
                      </pic:pic>
                    </a:graphicData>
                  </a:graphic>
                </wp:inline>
              </w:drawing>
            </w:r>
          </w:p>
          <w:p>
            <w:pPr>
              <w:pStyle w:val="9"/>
              <w:numPr>
                <w:ilvl w:val="0"/>
                <w:numId w:val="0"/>
              </w:numPr>
              <w:autoSpaceDE w:val="0"/>
              <w:autoSpaceDN w:val="0"/>
              <w:adjustRightInd w:val="0"/>
              <w:spacing w:before="1"/>
              <w:ind w:leftChars="0" w:firstLine="1920" w:firstLineChars="800"/>
              <w:jc w:val="left"/>
              <w:rPr>
                <w:rFonts w:hint="eastAsia"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eastAsia" w:ascii="Times New Roman" w:hAnsi="Times New Roman" w:eastAsia="宋体" w:cs="Times New Roman"/>
                <w:kern w:val="0"/>
                <w:sz w:val="24"/>
                <w:szCs w:val="24"/>
                <w:highlight w:val="none"/>
                <w:lang w:val="en-US" w:eastAsia="zh-CN"/>
              </w:rPr>
              <w:t>小鼠设计思路图</w:t>
            </w: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i w:val="0"/>
                <w:iCs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 xml:space="preserve">⑥ </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val="0"/>
                <w:iCs w:val="0"/>
                <w:sz w:val="24"/>
                <w:szCs w:val="24"/>
                <w:highlight w:val="none"/>
                <w:lang w:val="en-US" w:eastAsia="zh-CN"/>
              </w:rPr>
              <w:t>心脏特敲心衰小鼠制备：8周</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myh6-creERT2雄性小鼠经腹腔注射他莫昔芬玉米油溶液（20mg/kg），连续5天诱导Cre特异性的剪掉心肌</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val="0"/>
                <w:iCs w:val="0"/>
                <w:sz w:val="24"/>
                <w:szCs w:val="24"/>
                <w:highlight w:val="none"/>
                <w:lang w:val="en-US" w:eastAsia="zh-CN"/>
              </w:rPr>
              <w:t>基因，注射过程中观察动物的进食饮水以及体重状态，以期获得特异性敲除心肌</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val="0"/>
                <w:iCs w:val="0"/>
                <w:sz w:val="24"/>
                <w:szCs w:val="24"/>
                <w:highlight w:val="none"/>
                <w:lang w:val="en-US" w:eastAsia="zh-CN"/>
              </w:rPr>
              <w:t>基因。</w:t>
            </w: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i w:val="0"/>
                <w:iCs w:val="0"/>
                <w:sz w:val="24"/>
                <w:szCs w:val="24"/>
                <w:highlight w:val="none"/>
                <w:lang w:val="en-US" w:eastAsia="zh-CN"/>
              </w:rPr>
            </w:pP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b/>
                <w:bCs/>
                <w:kern w:val="0"/>
                <w:sz w:val="24"/>
                <w:szCs w:val="24"/>
                <w:highlight w:val="none"/>
              </w:rPr>
            </w:pPr>
            <w:r>
              <w:rPr>
                <w:rFonts w:hint="eastAsia" w:ascii="Times New Roman" w:hAnsi="Times New Roman" w:eastAsia="宋体" w:cs="Times New Roman"/>
                <w:b/>
                <w:bCs/>
                <w:kern w:val="0"/>
                <w:sz w:val="24"/>
                <w:szCs w:val="24"/>
                <w:highlight w:val="none"/>
              </w:rPr>
              <w:t>动物模型评价与验证</w:t>
            </w: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b/>
                <w:bCs/>
                <w:kern w:val="0"/>
                <w:sz w:val="24"/>
                <w:szCs w:val="24"/>
                <w:highlight w:val="none"/>
                <w:lang w:val="en-US" w:eastAsia="zh-CN"/>
              </w:rPr>
            </w:pPr>
            <w:r>
              <w:rPr>
                <w:rFonts w:hint="eastAsia" w:ascii="Times New Roman" w:hAnsi="Times New Roman" w:eastAsia="宋体" w:cs="Times New Roman"/>
                <w:b/>
                <w:bCs/>
                <w:kern w:val="0"/>
                <w:sz w:val="24"/>
                <w:szCs w:val="24"/>
                <w:highlight w:val="none"/>
                <w:lang w:val="en-US" w:eastAsia="zh-CN"/>
              </w:rPr>
              <w:t>一、评价指标：</w:t>
            </w:r>
          </w:p>
          <w:p>
            <w:pPr>
              <w:pStyle w:val="9"/>
              <w:numPr>
                <w:ilvl w:val="0"/>
                <w:numId w:val="0"/>
              </w:numPr>
              <w:autoSpaceDE w:val="0"/>
              <w:autoSpaceDN w:val="0"/>
              <w:adjustRightInd w:val="0"/>
              <w:spacing w:before="1"/>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1、小鼠心脏超声检测：</w:t>
            </w:r>
          </w:p>
          <w:p>
            <w:pPr>
              <w:pStyle w:val="9"/>
              <w:numPr>
                <w:ilvl w:val="0"/>
                <w:numId w:val="0"/>
              </w:numPr>
              <w:autoSpaceDE w:val="0"/>
              <w:autoSpaceDN w:val="0"/>
              <w:adjustRightInd w:val="0"/>
              <w:spacing w:before="1"/>
              <w:ind w:firstLine="480" w:firstLineChars="20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eastAsia" w:ascii="Times New Roman" w:hAnsi="Times New Roman" w:eastAsia="宋体" w:cs="Times New Roman"/>
                <w:kern w:val="0"/>
                <w:sz w:val="24"/>
                <w:szCs w:val="24"/>
                <w:highlight w:val="none"/>
                <w:lang w:val="en-US" w:eastAsia="zh-CN"/>
              </w:rPr>
              <w:t>小鼠在他莫昔芬诱导心脏</w:t>
            </w:r>
            <w:r>
              <w:rPr>
                <w:rFonts w:hint="eastAsia" w:ascii="Times New Roman" w:hAnsi="Times New Roman" w:eastAsia="宋体" w:cs="Times New Roman"/>
                <w:i/>
                <w:iCs/>
                <w:kern w:val="0"/>
                <w:sz w:val="24"/>
                <w:szCs w:val="24"/>
                <w:highlight w:val="none"/>
                <w:lang w:val="en-US" w:eastAsia="zh-CN"/>
              </w:rPr>
              <w:t>Drd5</w:t>
            </w:r>
            <w:r>
              <w:rPr>
                <w:rFonts w:hint="eastAsia" w:ascii="Times New Roman" w:hAnsi="Times New Roman" w:eastAsia="宋体" w:cs="Times New Roman"/>
                <w:kern w:val="0"/>
                <w:sz w:val="24"/>
                <w:szCs w:val="24"/>
                <w:highlight w:val="none"/>
                <w:lang w:val="en-US" w:eastAsia="zh-CN"/>
              </w:rPr>
              <w:t>基因稳定敲除后，每周利用电子秤称体重；心功能利用vivo770小动物多功能超声系统</w:t>
            </w:r>
            <w:r>
              <w:rPr>
                <w:rFonts w:hint="eastAsia" w:ascii="Times New Roman" w:hAnsi="Times New Roman" w:eastAsia="宋体" w:cs="Times New Roman"/>
                <w:kern w:val="0"/>
                <w:sz w:val="24"/>
                <w:szCs w:val="24"/>
                <w:highlight w:val="none"/>
                <w:shd w:val="clear"/>
                <w:lang w:val="en-US" w:eastAsia="zh-CN"/>
              </w:rPr>
              <w:t>（Visual sonics vevo770）</w:t>
            </w:r>
            <w:r>
              <w:rPr>
                <w:rFonts w:hint="eastAsia" w:ascii="Times New Roman" w:hAnsi="Times New Roman" w:eastAsia="宋体" w:cs="Times New Roman"/>
                <w:kern w:val="0"/>
                <w:sz w:val="24"/>
                <w:szCs w:val="24"/>
                <w:highlight w:val="none"/>
                <w:lang w:val="en-US" w:eastAsia="zh-CN"/>
              </w:rPr>
              <w:t>，在2%异氟烷气麻下检测，指标包括：短轴缩短率，射血分数，左室舒张末期/收缩末期直径，左室后壁舒张末期/收缩末期厚度，左室舒张末期/收缩末期容积，检测时间点为他莫昔芬诱导敲除后1月和2月。</w:t>
            </w: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2、小鼠生化指标检测：</w:t>
            </w:r>
          </w:p>
          <w:p>
            <w:pPr>
              <w:pStyle w:val="9"/>
              <w:numPr>
                <w:ilvl w:val="0"/>
                <w:numId w:val="0"/>
              </w:numPr>
              <w:autoSpaceDE w:val="0"/>
              <w:autoSpaceDN w:val="0"/>
              <w:adjustRightInd w:val="0"/>
              <w:spacing w:before="1"/>
              <w:ind w:leftChars="0" w:firstLine="480" w:firstLineChars="20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取小鼠下腔静脉的血样放于肝素抗凝管中，室温下，1000g离心15分钟，取上层血浆。利用生化分析仪（Alfa Wassermann Diagnostic Technologies，Alfa Wassermann，German）检测小鼠血浆中的Na+、K+、Cl-、肾素、血管紧张素、醛固酮、ALT、ALP、TBILI、HDL、LDL、甘油三酯、LDH和CK水平，用于评估小鼠肝、肾和心脏功能。</w:t>
            </w: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3、小鼠生理功能检测：</w:t>
            </w:r>
          </w:p>
          <w:p>
            <w:pPr>
              <w:pStyle w:val="9"/>
              <w:numPr>
                <w:ilvl w:val="0"/>
                <w:numId w:val="0"/>
              </w:numPr>
              <w:autoSpaceDE w:val="0"/>
              <w:autoSpaceDN w:val="0"/>
              <w:adjustRightInd w:val="0"/>
              <w:spacing w:before="1"/>
              <w:ind w:leftChars="0" w:firstLine="480" w:firstLineChars="20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心脏超声时检测小鼠静息心率，并在小鼠处死前用电子秤称重。小鼠的收缩压及舒张压检测采用无创尾袖血压分析仪（CODA System, Kent Scientific, Torrington, CT），分别检测他莫昔芬诱导敲除前的基线水平和诱导敲除后28天的收缩压和舒张压。测量方法为，通过专用软件收集10个周期的测量数据，并计算收缩压和舒张压的平均值。</w:t>
            </w: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4、小鼠心脏的组织学分析：</w:t>
            </w:r>
          </w:p>
          <w:p>
            <w:pPr>
              <w:pStyle w:val="9"/>
              <w:numPr>
                <w:ilvl w:val="0"/>
                <w:numId w:val="0"/>
              </w:numPr>
              <w:autoSpaceDE w:val="0"/>
              <w:autoSpaceDN w:val="0"/>
              <w:adjustRightInd w:val="0"/>
              <w:spacing w:before="1"/>
              <w:ind w:leftChars="0" w:firstLine="480" w:firstLineChars="20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小鼠处死后，对心脏进行取材并称重，进行重量/体重比值分析。然后将心脏的剩余部分置于4% PFA中4℃固定过夜。将心脏包埋于石蜡中进行切片（UNC Histology Research Core Facility,USA），组织切片厚度为5</w:t>
            </w:r>
            <w:r>
              <w:rPr>
                <w:rFonts w:hint="default" w:ascii="Times New Roman" w:hAnsi="Times New Roman" w:eastAsia="宋体" w:cs="Times New Roman"/>
                <w:kern w:val="0"/>
                <w:sz w:val="24"/>
                <w:szCs w:val="24"/>
                <w:highlight w:val="none"/>
                <w:lang w:val="en-US" w:eastAsia="zh-CN"/>
              </w:rPr>
              <w:t>μ</w:t>
            </w:r>
            <w:r>
              <w:rPr>
                <w:rFonts w:hint="eastAsia" w:ascii="Times New Roman" w:hAnsi="Times New Roman" w:eastAsia="宋体" w:cs="Times New Roman"/>
                <w:kern w:val="0"/>
                <w:sz w:val="24"/>
                <w:szCs w:val="24"/>
                <w:highlight w:val="none"/>
                <w:lang w:val="en-US" w:eastAsia="zh-CN"/>
              </w:rPr>
              <w:t>m，随后进行免疫荧光，苏木精和伊红（H&amp;E）和Masson三色染色（SolelyBio, Shanghai, China），以评估心脏的胶原沉积。</w:t>
            </w: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 xml:space="preserve">5、WGA染色： </w:t>
            </w:r>
          </w:p>
          <w:p>
            <w:pPr>
              <w:pStyle w:val="9"/>
              <w:numPr>
                <w:ilvl w:val="0"/>
                <w:numId w:val="0"/>
              </w:numPr>
              <w:autoSpaceDE w:val="0"/>
              <w:autoSpaceDN w:val="0"/>
              <w:adjustRightInd w:val="0"/>
              <w:spacing w:before="1"/>
              <w:ind w:leftChars="0" w:firstLine="480" w:firstLineChars="20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麦胚凝集素（WGA）是从谷物中提取出来一种大小为36kDa的凝集素，广泛应用于细胞生物学。由于它可以偶联于细胞膜上的n-乙酰基-β- d -氨基葡萄糖残基和n -乙酰基-β- d -氨基葡萄糖寡聚物，两者结合可以使心肌细胞膜染色。通过分析实验组和对照组心肌细胞的大小，判断实验组是否心肌肥大。</w:t>
            </w: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6、蛋白免疫印记实验：</w:t>
            </w:r>
          </w:p>
          <w:p>
            <w:pPr>
              <w:pStyle w:val="9"/>
              <w:numPr>
                <w:ilvl w:val="0"/>
                <w:numId w:val="0"/>
              </w:numPr>
              <w:autoSpaceDE w:val="0"/>
              <w:autoSpaceDN w:val="0"/>
              <w:adjustRightInd w:val="0"/>
              <w:spacing w:before="1"/>
              <w:ind w:leftChars="0" w:firstLine="480" w:firstLineChars="20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利用</w:t>
            </w:r>
            <w:bookmarkStart w:id="0" w:name="OLE_LINK3"/>
            <w:r>
              <w:rPr>
                <w:rFonts w:hint="eastAsia" w:ascii="Times New Roman" w:hAnsi="Times New Roman" w:eastAsia="宋体" w:cs="Times New Roman"/>
                <w:kern w:val="0"/>
                <w:sz w:val="24"/>
                <w:szCs w:val="24"/>
                <w:highlight w:val="none"/>
                <w:lang w:val="en-US" w:eastAsia="zh-CN"/>
              </w:rPr>
              <w:t>westernblot</w:t>
            </w:r>
            <w:bookmarkEnd w:id="0"/>
            <w:r>
              <w:rPr>
                <w:rFonts w:hint="eastAsia" w:ascii="Times New Roman" w:hAnsi="Times New Roman" w:eastAsia="宋体" w:cs="Times New Roman"/>
                <w:kern w:val="0"/>
                <w:sz w:val="24"/>
                <w:szCs w:val="24"/>
                <w:highlight w:val="none"/>
                <w:lang w:val="en-US" w:eastAsia="zh-CN"/>
              </w:rPr>
              <w:t>技术检测心肌纤维化、线粒体氧化应激和能量代谢相关的抗体水平，分别为GAPDH, MMP2, MMP9, P40, NDUFB-8, SDHB, UQCRC2, MTCO2 , ATP5A1。检测过程为，将蛋白样加入10孔10%凝胶中，先用60V电压进行浓缩胶电泳，然后用90V电压进行分离胶电泳，电泳结束后，采用300mA恒定电流将蛋白从凝胶转入NC膜，时间为120min；随后，利用5%的脱脂牛奶对NC膜封闭90min，一抗按说明书稀释后，4℃孵育过夜；利用TBST缓冲液洗膜，按10min/次，共三次，然后在室温下进行二抗孵育1h，接着重复洗膜三次后曝光。</w:t>
            </w:r>
          </w:p>
          <w:p>
            <w:pPr>
              <w:pStyle w:val="9"/>
              <w:numPr>
                <w:ilvl w:val="0"/>
                <w:numId w:val="0"/>
              </w:numPr>
              <w:autoSpaceDE w:val="0"/>
              <w:autoSpaceDN w:val="0"/>
              <w:adjustRightInd w:val="0"/>
              <w:spacing w:before="1"/>
              <w:ind w:leftChars="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7、聚合酶链反应（PCR）和实时定量反转录PCR (qRT-PCR)：</w:t>
            </w:r>
          </w:p>
          <w:p>
            <w:pPr>
              <w:pStyle w:val="9"/>
              <w:numPr>
                <w:ilvl w:val="0"/>
                <w:numId w:val="0"/>
              </w:numPr>
              <w:autoSpaceDE w:val="0"/>
              <w:autoSpaceDN w:val="0"/>
              <w:adjustRightInd w:val="0"/>
              <w:spacing w:before="1"/>
              <w:ind w:leftChars="0" w:firstLine="480" w:firstLineChars="20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首先，</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myh6-creERT2小鼠</w:t>
            </w:r>
            <w:r>
              <w:rPr>
                <w:rFonts w:hint="eastAsia" w:ascii="Times New Roman" w:hAnsi="Times New Roman" w:eastAsia="宋体" w:cs="Times New Roman"/>
                <w:kern w:val="0"/>
                <w:sz w:val="24"/>
                <w:szCs w:val="24"/>
                <w:highlight w:val="none"/>
                <w:lang w:val="en-US" w:eastAsia="zh-CN"/>
              </w:rPr>
              <w:t>的鉴定采用PCR扩增技术，以小鼠尾部DNA为模板，在转基因载体中扩增目的片段（233bp）。收集转基因小鼠的少量尾部组织（根据动物伦理，该方法在14天后不得使用），采用异丙醇法提取基因组DNA进行扩增。</w:t>
            </w:r>
            <w:r>
              <w:rPr>
                <w:rFonts w:hint="eastAsia" w:ascii="Times New Roman" w:hAnsi="Times New Roman" w:eastAsia="宋体" w:cs="Times New Roman"/>
                <w:kern w:val="0"/>
                <w:sz w:val="24"/>
                <w:szCs w:val="24"/>
                <w:highlight w:val="none"/>
                <w:lang w:val="en-US" w:eastAsia="zh-CN"/>
              </w:rPr>
              <w:tab/>
            </w:r>
          </w:p>
          <w:p>
            <w:pPr>
              <w:pStyle w:val="9"/>
              <w:numPr>
                <w:ilvl w:val="0"/>
                <w:numId w:val="0"/>
              </w:numPr>
              <w:autoSpaceDE w:val="0"/>
              <w:autoSpaceDN w:val="0"/>
              <w:adjustRightInd w:val="0"/>
              <w:spacing w:before="1"/>
              <w:ind w:leftChars="0" w:firstLine="480" w:firstLineChars="200"/>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其次，从小鼠心脏左室组织中提取总RNA，逆转录为cDNA。采用ABI PRISM 7900 HT序列检测系统和软件（Applied Biosystems, Foster City, CA）进行实时定量PCR，检测β-actin、Ndufv1、Ndufs1、SDHC、SDHA、Uqcrc1、Uqcrfs1、Cox4i1、Cox7b、atp50、Atp5a1 mRNA水平。根据SYBR Green Supermax (Bio-Rad, 172-5124）的说明书制备实时qPCR样品，并在Bio-Rad CFX384实时系统中进行反应。</w:t>
            </w:r>
          </w:p>
          <w:p>
            <w:pPr>
              <w:pStyle w:val="9"/>
              <w:numPr>
                <w:ilvl w:val="0"/>
                <w:numId w:val="0"/>
              </w:numPr>
              <w:autoSpaceDE w:val="0"/>
              <w:autoSpaceDN w:val="0"/>
              <w:adjustRightInd w:val="0"/>
              <w:spacing w:before="1"/>
              <w:jc w:val="left"/>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8、试剂耗材：</w:t>
            </w:r>
          </w:p>
          <w:p>
            <w:pPr>
              <w:keepNext w:val="0"/>
              <w:keepLines w:val="0"/>
              <w:widowControl/>
              <w:suppressLineNumbers w:val="0"/>
              <w:ind w:firstLine="480" w:firstLineChars="200"/>
              <w:jc w:val="left"/>
              <w:rPr>
                <w:rFonts w:hint="default" w:ascii="Times New Roman" w:hAnsi="Times New Roman" w:eastAsia="宋体" w:cs="Times New Roman"/>
                <w:kern w:val="0"/>
                <w:sz w:val="24"/>
                <w:szCs w:val="24"/>
                <w:highlight w:val="none"/>
                <w:lang w:val="en-US" w:eastAsia="zh-CN" w:bidi="ar-SA"/>
              </w:rPr>
            </w:pPr>
            <w:r>
              <w:rPr>
                <w:rFonts w:hint="eastAsia" w:ascii="Times New Roman" w:hAnsi="Times New Roman" w:eastAsia="宋体" w:cs="Times New Roman"/>
                <w:kern w:val="0"/>
                <w:sz w:val="24"/>
                <w:szCs w:val="24"/>
                <w:highlight w:val="none"/>
                <w:lang w:val="en-US" w:eastAsia="zh-CN" w:bidi="ar-SA"/>
              </w:rPr>
              <w:t>实验中用到的抗体信息包括：</w:t>
            </w:r>
            <w:r>
              <w:rPr>
                <w:rFonts w:hint="default" w:ascii="Times New Roman" w:hAnsi="Times New Roman" w:eastAsia="宋体" w:cs="Times New Roman"/>
                <w:kern w:val="0"/>
                <w:sz w:val="24"/>
                <w:szCs w:val="24"/>
                <w:highlight w:val="none"/>
                <w:lang w:val="en-US" w:eastAsia="zh-CN" w:bidi="ar-SA"/>
              </w:rPr>
              <w:t xml:space="preserve"> GAPDH (Cell signaling,5174S), MMP2(Proteintech, Cat No. 10373–2-AP), MMP9(Proteintech, Cat No. 10375–2-AP), P40(Cell signaling,871,515), NDUFB-8 (Proteintech, Cat No. 14794–1-AP), SDHB (Proteintech, Cat No. 10620–1-AP), UQCRC2(Proteintech, Cat No. 14742–1-AP), MTCO2 (Proteintech, Cat No. 55070–1-AP), ATP5A1(Proteintech, Cat No. 14676–1-AP), PLN (Proteintech, Cat No. Ag8632), SERCA2(Proteintech, Cat No. 27311–1-AP), BAX(Proteintech, Cat No.50599–2-Ig), BAL2 (Proteintech, Cat No. 68103–1-Ig), Nucleus-Nrf2(Proteintech, Cat No. 80593–1-RR), P84(Proteintech, Cat No. 10920–1-AP), NQO1(Proteintech, Cat No. 11451–1-AP), HO1(Proteintech,Cat No. 10701–1-AP), P40(Proteintech, Cat No. 15105–1-AP), P47(Proteintech, Cat No. 15620–1-AP). </w:t>
            </w:r>
          </w:p>
          <w:p>
            <w:pPr>
              <w:pStyle w:val="9"/>
              <w:numPr>
                <w:ilvl w:val="0"/>
                <w:numId w:val="0"/>
              </w:numPr>
              <w:autoSpaceDE w:val="0"/>
              <w:autoSpaceDN w:val="0"/>
              <w:adjustRightInd w:val="0"/>
              <w:spacing w:before="1"/>
              <w:jc w:val="left"/>
              <w:rPr>
                <w:rFonts w:hint="default" w:ascii="Times New Roman" w:hAnsi="Times New Roman" w:eastAsia="宋体" w:cs="Times New Roman"/>
                <w:kern w:val="0"/>
                <w:sz w:val="24"/>
                <w:szCs w:val="24"/>
                <w:highlight w:val="none"/>
                <w:lang w:val="en-US" w:eastAsia="zh-CN"/>
              </w:rPr>
            </w:pPr>
          </w:p>
          <w:p>
            <w:pPr>
              <w:pStyle w:val="9"/>
              <w:numPr>
                <w:ilvl w:val="0"/>
                <w:numId w:val="0"/>
              </w:numPr>
              <w:autoSpaceDE w:val="0"/>
              <w:autoSpaceDN w:val="0"/>
              <w:adjustRightInd w:val="0"/>
              <w:spacing w:before="1"/>
              <w:ind w:leftChars="0" w:firstLine="480" w:firstLineChars="200"/>
              <w:jc w:val="left"/>
              <w:rPr>
                <w:rFonts w:hint="eastAsia" w:ascii="Times New Roman" w:hAnsi="Times New Roman" w:eastAsia="宋体" w:cs="Times New Roman"/>
                <w:kern w:val="0"/>
                <w:sz w:val="24"/>
                <w:szCs w:val="24"/>
                <w:highlight w:val="none"/>
                <w:lang w:val="en-US" w:eastAsia="zh-CN"/>
              </w:rPr>
            </w:pPr>
          </w:p>
          <w:p>
            <w:pPr>
              <w:numPr>
                <w:ilvl w:val="0"/>
                <w:numId w:val="0"/>
              </w:numPr>
              <w:spacing w:line="360" w:lineRule="auto"/>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kern w:val="0"/>
                <w:sz w:val="24"/>
                <w:szCs w:val="24"/>
                <w:highlight w:val="none"/>
                <w:lang w:val="en-US" w:eastAsia="zh-CN"/>
              </w:rPr>
              <w:t>二、模型验证：</w:t>
            </w:r>
            <w:bookmarkStart w:id="1" w:name="OLE_LINK6"/>
          </w:p>
          <w:p>
            <w:pPr>
              <w:numPr>
                <w:ilvl w:val="0"/>
                <w:numId w:val="0"/>
              </w:numPr>
              <w:spacing w:line="240" w:lineRule="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default" w:ascii="Times New Roman" w:hAnsi="Times New Roman" w:eastAsia="宋体" w:cs="Times New Roman"/>
                <w:sz w:val="24"/>
                <w:szCs w:val="24"/>
                <w:highlight w:val="none"/>
                <w:lang w:val="en-US" w:eastAsia="zh-CN"/>
              </w:rPr>
              <w:t>小鼠</w:t>
            </w:r>
            <w:bookmarkEnd w:id="1"/>
            <w:r>
              <w:rPr>
                <w:rFonts w:hint="eastAsia" w:ascii="Times New Roman" w:hAnsi="Times New Roman" w:eastAsia="宋体" w:cs="Times New Roman"/>
                <w:sz w:val="24"/>
                <w:szCs w:val="24"/>
                <w:highlight w:val="none"/>
                <w:lang w:val="en-US" w:eastAsia="zh-CN"/>
              </w:rPr>
              <w:t>表现</w:t>
            </w:r>
            <w:r>
              <w:rPr>
                <w:rFonts w:hint="default" w:ascii="Times New Roman" w:hAnsi="Times New Roman" w:eastAsia="宋体" w:cs="Times New Roman"/>
                <w:sz w:val="24"/>
                <w:szCs w:val="24"/>
                <w:highlight w:val="none"/>
                <w:lang w:val="en-US" w:eastAsia="zh-CN"/>
              </w:rPr>
              <w:t>为心衰表型</w:t>
            </w:r>
          </w:p>
          <w:p>
            <w:pPr>
              <w:numPr>
                <w:ilvl w:val="0"/>
                <w:numId w:val="0"/>
              </w:numPr>
              <w:spacing w:line="240" w:lineRule="auto"/>
              <w:rPr>
                <w:rFonts w:hint="default" w:ascii="Times New Roman" w:hAnsi="Times New Roman" w:eastAsia="宋体" w:cs="Times New Roman"/>
                <w:sz w:val="24"/>
                <w:szCs w:val="24"/>
                <w:highlight w:val="none"/>
                <w:lang w:val="en-US" w:eastAsia="zh-CN"/>
              </w:rPr>
            </w:pPr>
          </w:p>
          <w:p>
            <w:pPr>
              <w:numPr>
                <w:ilvl w:val="0"/>
                <w:numId w:val="0"/>
              </w:numPr>
              <w:spacing w:line="240" w:lineRule="auto"/>
              <w:ind w:firstLine="480"/>
              <w:rPr>
                <w:highlight w:val="none"/>
              </w:rPr>
            </w:pPr>
            <w:r>
              <w:rPr>
                <w:rFonts w:hint="default" w:ascii="Times New Roman" w:hAnsi="Times New Roman" w:eastAsia="宋体" w:cs="Times New Roman"/>
                <w:sz w:val="24"/>
                <w:szCs w:val="24"/>
                <w:highlight w:val="none"/>
                <w:lang w:val="en-US" w:eastAsia="zh-CN"/>
              </w:rPr>
              <w:t>本研究通过他莫昔芬诱导敲除</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myh6-creERT2(D5R C</w:t>
            </w:r>
            <w:r>
              <w:rPr>
                <w:rFonts w:hint="default" w:ascii="Times New Roman" w:hAnsi="Times New Roman" w:eastAsia="宋体" w:cs="Times New Roman"/>
                <w:sz w:val="24"/>
                <w:szCs w:val="24"/>
                <w:highlight w:val="none"/>
                <w:lang w:val="en-US" w:eastAsia="zh-CN"/>
              </w:rPr>
              <w:t>KO</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小鼠心脏</w:t>
            </w:r>
            <w:r>
              <w:rPr>
                <w:rFonts w:hint="default" w:ascii="Times New Roman" w:hAnsi="Times New Roman" w:eastAsia="宋体" w:cs="Times New Roman"/>
                <w:i/>
                <w:iCs/>
                <w:sz w:val="24"/>
                <w:szCs w:val="24"/>
                <w:highlight w:val="none"/>
                <w:lang w:val="en-US" w:eastAsia="zh-CN"/>
              </w:rPr>
              <w:t>Drd5</w:t>
            </w:r>
            <w:r>
              <w:rPr>
                <w:rFonts w:hint="default" w:ascii="Times New Roman" w:hAnsi="Times New Roman" w:eastAsia="宋体" w:cs="Times New Roman"/>
                <w:sz w:val="24"/>
                <w:szCs w:val="24"/>
                <w:highlight w:val="none"/>
                <w:lang w:val="en-US" w:eastAsia="zh-CN"/>
              </w:rPr>
              <w:t>基因。与</w:t>
            </w:r>
            <w:r>
              <w:rPr>
                <w:rFonts w:hint="eastAsia" w:ascii="Times New Roman" w:hAnsi="Times New Roman" w:eastAsia="宋体" w:cs="Times New Roman"/>
                <w:sz w:val="24"/>
                <w:szCs w:val="24"/>
                <w:highlight w:val="none"/>
                <w:lang w:val="en-US" w:eastAsia="zh-CN"/>
              </w:rPr>
              <w:t>对照</w:t>
            </w:r>
            <w:r>
              <w:rPr>
                <w:rFonts w:hint="default" w:ascii="Times New Roman" w:hAnsi="Times New Roman" w:eastAsia="宋体" w:cs="Times New Roman"/>
                <w:sz w:val="24"/>
                <w:szCs w:val="24"/>
                <w:highlight w:val="none"/>
                <w:lang w:val="en-US" w:eastAsia="zh-CN"/>
              </w:rPr>
              <w:t>小鼠相比</w:t>
            </w:r>
            <w:r>
              <w:rPr>
                <w:rFonts w:hint="eastAsia" w:ascii="Times New Roman" w:hAnsi="Times New Roman" w:eastAsia="宋体" w:cs="Times New Roman"/>
                <w:sz w:val="24"/>
                <w:szCs w:val="24"/>
                <w:highlight w:val="none"/>
                <w:lang w:val="en-US" w:eastAsia="zh-CN"/>
              </w:rPr>
              <w:t>，C</w:t>
            </w:r>
            <w:r>
              <w:rPr>
                <w:rFonts w:hint="default" w:ascii="Times New Roman" w:hAnsi="Times New Roman" w:eastAsia="宋体" w:cs="Times New Roman"/>
                <w:sz w:val="24"/>
                <w:szCs w:val="24"/>
                <w:highlight w:val="none"/>
                <w:lang w:val="en-US" w:eastAsia="zh-CN"/>
              </w:rPr>
              <w:t>KO小鼠心肌组织中D5R的表达明显降低，但在肾脏中</w:t>
            </w:r>
            <w:r>
              <w:rPr>
                <w:rFonts w:hint="eastAsia" w:ascii="Times New Roman" w:hAnsi="Times New Roman" w:eastAsia="宋体" w:cs="Times New Roman"/>
                <w:sz w:val="24"/>
                <w:szCs w:val="24"/>
                <w:highlight w:val="none"/>
                <w:lang w:val="en-US" w:eastAsia="zh-CN"/>
              </w:rPr>
              <w:t>无明显变化，证实D5R在心脏组织中特异性敲除（</w:t>
            </w:r>
            <w:r>
              <w:rPr>
                <w:rFonts w:hint="default" w:ascii="Times New Roman" w:hAnsi="Times New Roman" w:eastAsia="宋体" w:cs="Times New Roman"/>
                <w:b/>
                <w:bCs/>
                <w:sz w:val="24"/>
                <w:szCs w:val="24"/>
                <w:highlight w:val="none"/>
                <w:lang w:val="en-US" w:eastAsia="zh-CN"/>
              </w:rPr>
              <w:t>图1</w:t>
            </w:r>
            <w:r>
              <w:rPr>
                <w:rFonts w:hint="eastAsia" w:ascii="Times New Roman" w:hAnsi="Times New Roman" w:eastAsia="宋体" w:cs="Times New Roman"/>
                <w:b/>
                <w:bCs/>
                <w:sz w:val="24"/>
                <w:szCs w:val="24"/>
                <w:highlight w:val="none"/>
                <w:lang w:val="en-US" w:eastAsia="zh-CN"/>
              </w:rPr>
              <w:t>B）</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sz w:val="24"/>
                <w:szCs w:val="24"/>
                <w:highlight w:val="none"/>
                <w:lang w:val="en-US" w:eastAsia="zh-CN"/>
              </w:rPr>
              <w:t>基因敲除</w:t>
            </w:r>
            <w:r>
              <w:rPr>
                <w:rFonts w:hint="default" w:ascii="Times New Roman" w:hAnsi="Times New Roman" w:eastAsia="宋体" w:cs="Times New Roman"/>
                <w:sz w:val="24"/>
                <w:szCs w:val="24"/>
                <w:highlight w:val="none"/>
                <w:lang w:val="en-US" w:eastAsia="zh-CN"/>
              </w:rPr>
              <w:t>2周</w:t>
            </w:r>
            <w:r>
              <w:rPr>
                <w:rFonts w:hint="eastAsia" w:ascii="Times New Roman" w:hAnsi="Times New Roman" w:eastAsia="宋体" w:cs="Times New Roman"/>
                <w:sz w:val="24"/>
                <w:szCs w:val="24"/>
                <w:highlight w:val="none"/>
                <w:lang w:val="en-US" w:eastAsia="zh-CN"/>
              </w:rPr>
              <w:t>后，</w:t>
            </w:r>
            <w:r>
              <w:rPr>
                <w:rFonts w:hint="default" w:ascii="Times New Roman" w:hAnsi="Times New Roman" w:eastAsia="宋体" w:cs="Times New Roman"/>
                <w:sz w:val="24"/>
                <w:szCs w:val="24"/>
                <w:highlight w:val="none"/>
                <w:lang w:val="en-US" w:eastAsia="zh-CN"/>
              </w:rPr>
              <w:t>心脏染色</w:t>
            </w:r>
            <w:r>
              <w:rPr>
                <w:rFonts w:hint="eastAsia" w:ascii="Times New Roman" w:hAnsi="Times New Roman" w:eastAsia="宋体" w:cs="Times New Roman"/>
                <w:sz w:val="24"/>
                <w:szCs w:val="24"/>
                <w:highlight w:val="none"/>
                <w:lang w:val="en-US" w:eastAsia="zh-CN"/>
              </w:rPr>
              <w:t>结果</w:t>
            </w:r>
            <w:r>
              <w:rPr>
                <w:rFonts w:hint="default" w:ascii="Times New Roman" w:hAnsi="Times New Roman" w:eastAsia="宋体" w:cs="Times New Roman"/>
                <w:sz w:val="24"/>
                <w:szCs w:val="24"/>
                <w:highlight w:val="none"/>
                <w:lang w:val="en-US" w:eastAsia="zh-CN"/>
              </w:rPr>
              <w:t>显示</w:t>
            </w:r>
            <w:r>
              <w:rPr>
                <w:rFonts w:hint="eastAsia" w:ascii="Times New Roman" w:hAnsi="Times New Roman" w:eastAsia="宋体" w:cs="Times New Roman"/>
                <w:sz w:val="24"/>
                <w:szCs w:val="24"/>
                <w:highlight w:val="none"/>
                <w:lang w:val="en-US" w:eastAsia="zh-CN"/>
              </w:rPr>
              <w:t>CKO小鼠</w:t>
            </w:r>
            <w:r>
              <w:rPr>
                <w:rFonts w:hint="default" w:ascii="Times New Roman" w:hAnsi="Times New Roman" w:eastAsia="宋体" w:cs="Times New Roman"/>
                <w:sz w:val="24"/>
                <w:szCs w:val="24"/>
                <w:highlight w:val="none"/>
                <w:lang w:val="en-US" w:eastAsia="zh-CN"/>
              </w:rPr>
              <w:t>心脏</w:t>
            </w:r>
            <w:r>
              <w:rPr>
                <w:rFonts w:hint="eastAsia" w:ascii="Times New Roman" w:hAnsi="Times New Roman" w:eastAsia="宋体" w:cs="Times New Roman"/>
                <w:sz w:val="24"/>
                <w:szCs w:val="24"/>
                <w:highlight w:val="none"/>
                <w:lang w:val="en-US" w:eastAsia="zh-CN"/>
              </w:rPr>
              <w:t>的</w:t>
            </w:r>
            <w:r>
              <w:rPr>
                <w:rFonts w:hint="default" w:ascii="Times New Roman" w:hAnsi="Times New Roman" w:eastAsia="宋体" w:cs="Times New Roman"/>
                <w:sz w:val="24"/>
                <w:szCs w:val="24"/>
                <w:highlight w:val="none"/>
                <w:lang w:val="en-US" w:eastAsia="zh-CN"/>
              </w:rPr>
              <w:t>大体形态增大</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图1A</w:t>
            </w:r>
            <w:r>
              <w:rPr>
                <w:rFonts w:hint="eastAsia" w:ascii="Times New Roman" w:hAnsi="Times New Roman" w:eastAsia="宋体" w:cs="Times New Roman"/>
                <w:b/>
                <w:bCs/>
                <w:sz w:val="24"/>
                <w:szCs w:val="24"/>
                <w:highlight w:val="none"/>
                <w:lang w:val="en-US" w:eastAsia="zh-CN"/>
              </w:rPr>
              <w:t>）</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心脏</w:t>
            </w:r>
            <w:r>
              <w:rPr>
                <w:rFonts w:hint="eastAsia" w:ascii="Times New Roman" w:hAnsi="Times New Roman" w:eastAsia="宋体" w:cs="Times New Roman"/>
                <w:sz w:val="24"/>
                <w:szCs w:val="24"/>
                <w:highlight w:val="none"/>
                <w:lang w:val="en-US" w:eastAsia="zh-CN"/>
              </w:rPr>
              <w:t>横截</w:t>
            </w:r>
            <w:r>
              <w:rPr>
                <w:rFonts w:hint="default" w:ascii="Times New Roman" w:hAnsi="Times New Roman" w:eastAsia="宋体" w:cs="Times New Roman"/>
                <w:sz w:val="24"/>
                <w:szCs w:val="24"/>
                <w:highlight w:val="none"/>
                <w:lang w:val="en-US" w:eastAsia="zh-CN"/>
              </w:rPr>
              <w:t>面增大</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图1C和D</w:t>
            </w:r>
            <w:r>
              <w:rPr>
                <w:rFonts w:hint="eastAsia" w:ascii="Times New Roman" w:hAnsi="Times New Roman" w:eastAsia="宋体" w:cs="Times New Roman"/>
                <w:b/>
                <w:bCs/>
                <w:sz w:val="24"/>
                <w:szCs w:val="24"/>
                <w:highlight w:val="none"/>
                <w:lang w:val="en-US" w:eastAsia="zh-CN"/>
              </w:rPr>
              <w:t>）</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心脏超声结果显示</w:t>
            </w:r>
            <w:r>
              <w:rPr>
                <w:rFonts w:hint="eastAsia" w:ascii="Times New Roman" w:hAnsi="Times New Roman" w:eastAsia="宋体" w:cs="Times New Roman"/>
                <w:sz w:val="24"/>
                <w:szCs w:val="24"/>
                <w:highlight w:val="none"/>
                <w:lang w:val="en-US" w:eastAsia="zh-CN"/>
              </w:rPr>
              <w:t>CKO小鼠</w:t>
            </w:r>
            <w:r>
              <w:rPr>
                <w:rFonts w:hint="default" w:ascii="Times New Roman" w:hAnsi="Times New Roman" w:eastAsia="宋体" w:cs="Times New Roman"/>
                <w:sz w:val="24"/>
                <w:szCs w:val="24"/>
                <w:highlight w:val="none"/>
                <w:lang w:val="en-US" w:eastAsia="zh-CN"/>
              </w:rPr>
              <w:t>心功能下调，射血分数和短轴缩短等超声心动图参数显著降低</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图1E, F</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sz w:val="24"/>
                <w:szCs w:val="24"/>
                <w:highlight w:val="none"/>
                <w:lang w:val="en-US" w:eastAsia="zh-CN"/>
              </w:rPr>
              <w:t>基因敲除6</w:t>
            </w:r>
            <w:r>
              <w:rPr>
                <w:rFonts w:hint="default" w:ascii="Times New Roman" w:hAnsi="Times New Roman" w:eastAsia="宋体" w:cs="Times New Roman"/>
                <w:sz w:val="24"/>
                <w:szCs w:val="24"/>
                <w:highlight w:val="none"/>
                <w:lang w:val="en-US" w:eastAsia="zh-CN"/>
              </w:rPr>
              <w:t>周</w:t>
            </w:r>
            <w:r>
              <w:rPr>
                <w:rFonts w:hint="eastAsia" w:ascii="Times New Roman" w:hAnsi="Times New Roman" w:eastAsia="宋体" w:cs="Times New Roman"/>
                <w:sz w:val="24"/>
                <w:szCs w:val="24"/>
                <w:highlight w:val="none"/>
                <w:lang w:val="en-US" w:eastAsia="zh-CN"/>
              </w:rPr>
              <w:t>后，</w:t>
            </w:r>
            <w:r>
              <w:rPr>
                <w:rFonts w:hint="default" w:ascii="Times New Roman" w:hAnsi="Times New Roman" w:cs="Times New Roman"/>
                <w:highlight w:val="none"/>
                <w:lang w:val="en-US" w:eastAsia="zh-CN"/>
              </w:rPr>
              <w:t xml:space="preserve">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KO</w:t>
            </w:r>
            <w:r>
              <w:rPr>
                <w:rFonts w:hint="default" w:ascii="Times New Roman" w:hAnsi="Times New Roman" w:eastAsia="宋体" w:cs="Times New Roman"/>
                <w:sz w:val="24"/>
                <w:szCs w:val="24"/>
                <w:highlight w:val="none"/>
                <w:lang w:val="en-US" w:eastAsia="zh-CN"/>
              </w:rPr>
              <w:t>小鼠的纤维化和心肌损伤范围更广，最终导致心力衰竭</w:t>
            </w:r>
            <w:r>
              <w:rPr>
                <w:rFonts w:hint="eastAsia" w:ascii="Times New Roman" w:hAnsi="Times New Roman" w:eastAsia="宋体" w:cs="Times New Roman"/>
                <w:sz w:val="24"/>
                <w:szCs w:val="24"/>
                <w:highlight w:val="none"/>
                <w:lang w:val="en-US" w:eastAsia="zh-CN"/>
              </w:rPr>
              <w:t>。</w:t>
            </w:r>
          </w:p>
          <w:p>
            <w:pPr>
              <w:numPr>
                <w:ilvl w:val="0"/>
                <w:numId w:val="0"/>
              </w:numPr>
              <w:spacing w:line="240" w:lineRule="auto"/>
              <w:ind w:leftChars="0"/>
              <w:rPr>
                <w:rFonts w:hint="default"/>
                <w:highlight w:val="none"/>
                <w:lang w:val="en-US" w:eastAsia="zh-CN"/>
              </w:rPr>
            </w:pPr>
            <w:r>
              <w:rPr>
                <w:rFonts w:hint="eastAsia" w:eastAsiaTheme="minorEastAsia"/>
                <w:highlight w:val="none"/>
                <w:lang w:eastAsia="zh-CN"/>
              </w:rPr>
              <w:drawing>
                <wp:inline distT="0" distB="0" distL="114300" distR="114300">
                  <wp:extent cx="5615940" cy="3313430"/>
                  <wp:effectExtent l="0" t="0" r="3810" b="127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5615940" cy="3313430"/>
                          </a:xfrm>
                          <a:prstGeom prst="rect">
                            <a:avLst/>
                          </a:prstGeom>
                        </pic:spPr>
                      </pic:pic>
                    </a:graphicData>
                  </a:graphic>
                </wp:inline>
              </w:drawing>
            </w:r>
          </w:p>
          <w:p>
            <w:pPr>
              <w:bidi w:val="0"/>
              <w:spacing w:line="240" w:lineRule="auto"/>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 xml:space="preserve">图1. 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KO小鼠心力衰竭</w:t>
            </w:r>
            <w:r>
              <w:rPr>
                <w:rFonts w:hint="eastAsia" w:ascii="Times New Roman" w:hAnsi="Times New Roman" w:cs="Times New Roman"/>
                <w:highlight w:val="none"/>
                <w:lang w:val="en-US" w:eastAsia="zh-CN"/>
              </w:rPr>
              <w:t>出现心力衰竭表型（n=10）</w:t>
            </w:r>
            <w:r>
              <w:rPr>
                <w:rFonts w:hint="default" w:ascii="Times New Roman" w:hAnsi="Times New Roman" w:cs="Times New Roman"/>
                <w:highlight w:val="none"/>
                <w:lang w:val="en-US" w:eastAsia="zh-CN"/>
              </w:rPr>
              <w:t>。A</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 xml:space="preserve">对照组小鼠和D5R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 xml:space="preserve">KO心肌特异性敲除小鼠在2周和6周时的心脏大体形态。B: 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 xml:space="preserve">KO心肌特异性敲除小鼠心脏和肾脏中的D5R表达水平。C: 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 xml:space="preserve">KO 2W和D5R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KO 6W对照小鼠心脏超声结果和WGA染色。D</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各组心肌细胞平均横截面积。E、F分别为两组左心室内径、容积、射血分数、短轴缩短。</w:t>
            </w:r>
          </w:p>
          <w:p>
            <w:pPr>
              <w:bidi w:val="0"/>
              <w:spacing w:line="240" w:lineRule="auto"/>
              <w:jc w:val="left"/>
              <w:rPr>
                <w:rFonts w:hint="default" w:ascii="Times New Roman" w:hAnsi="Times New Roman" w:cs="Times New Roman"/>
                <w:highlight w:val="none"/>
                <w:lang w:val="en-US" w:eastAsia="zh-CN"/>
              </w:rPr>
            </w:pPr>
          </w:p>
          <w:p>
            <w:pPr>
              <w:numPr>
                <w:ilvl w:val="0"/>
                <w:numId w:val="2"/>
              </w:numPr>
              <w:bidi w:val="0"/>
              <w:spacing w:line="240" w:lineRule="auto"/>
              <w:ind w:leftChars="0"/>
              <w:jc w:val="left"/>
              <w:rPr>
                <w:rFonts w:hint="eastAsia" w:ascii="Times New Roman" w:hAnsi="Times New Roman" w:eastAsia="宋体" w:cs="Times New Roman"/>
                <w:sz w:val="24"/>
                <w:szCs w:val="24"/>
                <w:highlight w:val="none"/>
                <w:lang w:val="en-US" w:eastAsia="zh-CN"/>
              </w:rPr>
            </w:pPr>
            <w:bookmarkStart w:id="2" w:name="OLE_LINK8"/>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default" w:ascii="Times New Roman" w:hAnsi="Times New Roman" w:eastAsia="宋体" w:cs="Times New Roman"/>
                <w:sz w:val="24"/>
                <w:szCs w:val="24"/>
                <w:highlight w:val="none"/>
                <w:lang w:val="en-US" w:eastAsia="zh-CN"/>
              </w:rPr>
              <w:t>小鼠</w:t>
            </w:r>
            <w:bookmarkEnd w:id="2"/>
            <w:r>
              <w:rPr>
                <w:rFonts w:hint="eastAsia" w:ascii="Times New Roman" w:hAnsi="Times New Roman" w:eastAsia="宋体" w:cs="Times New Roman"/>
                <w:sz w:val="24"/>
                <w:szCs w:val="24"/>
                <w:highlight w:val="none"/>
                <w:lang w:val="en-US" w:eastAsia="zh-CN"/>
              </w:rPr>
              <w:t>生化指标及血压水平的变化</w:t>
            </w:r>
          </w:p>
          <w:p>
            <w:pPr>
              <w:numPr>
                <w:ilvl w:val="0"/>
                <w:numId w:val="0"/>
              </w:numPr>
              <w:bidi w:val="0"/>
              <w:spacing w:line="240" w:lineRule="auto"/>
              <w:jc w:val="left"/>
              <w:rPr>
                <w:rFonts w:hint="default" w:ascii="Times New Roman" w:hAnsi="Times New Roman" w:eastAsia="宋体" w:cs="Times New Roman"/>
                <w:sz w:val="24"/>
                <w:szCs w:val="24"/>
                <w:highlight w:val="none"/>
                <w:lang w:val="en-US" w:eastAsia="zh-CN"/>
              </w:rPr>
            </w:pPr>
          </w:p>
          <w:p>
            <w:pPr>
              <w:numPr>
                <w:ilvl w:val="0"/>
                <w:numId w:val="0"/>
              </w:numPr>
              <w:bidi w:val="0"/>
              <w:spacing w:line="240" w:lineRule="auto"/>
              <w:ind w:leftChars="0" w:firstLine="480"/>
              <w:jc w:val="left"/>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default" w:ascii="Times New Roman" w:hAnsi="Times New Roman" w:eastAsia="宋体" w:cs="Times New Roman"/>
                <w:sz w:val="24"/>
                <w:szCs w:val="24"/>
                <w:highlight w:val="none"/>
                <w:lang w:val="en-US" w:eastAsia="zh-CN"/>
              </w:rPr>
              <w:t>小鼠他莫昔芬给药2周和6周后，对</w:t>
            </w:r>
            <w:r>
              <w:rPr>
                <w:rFonts w:hint="eastAsia" w:ascii="Times New Roman" w:hAnsi="Times New Roman" w:eastAsia="宋体" w:cs="Times New Roman"/>
                <w:sz w:val="24"/>
                <w:szCs w:val="24"/>
                <w:highlight w:val="none"/>
                <w:lang w:val="en-US" w:eastAsia="zh-CN"/>
              </w:rPr>
              <w:t>其</w:t>
            </w:r>
            <w:r>
              <w:rPr>
                <w:rFonts w:hint="default" w:ascii="Times New Roman" w:hAnsi="Times New Roman" w:eastAsia="宋体" w:cs="Times New Roman"/>
                <w:sz w:val="24"/>
                <w:szCs w:val="24"/>
                <w:highlight w:val="none"/>
                <w:lang w:val="en-US" w:eastAsia="zh-CN"/>
              </w:rPr>
              <w:t>生理指标进行检测，包括CK、UA、BUN和CRE</w:t>
            </w:r>
            <w:r>
              <w:rPr>
                <w:rFonts w:hint="eastAsia" w:ascii="Times New Roman" w:hAnsi="Times New Roman" w:eastAsia="宋体" w:cs="Times New Roman"/>
                <w:sz w:val="24"/>
                <w:szCs w:val="24"/>
                <w:highlight w:val="none"/>
                <w:lang w:val="en-US" w:eastAsia="zh-CN"/>
              </w:rPr>
              <w:t>，发现CK水平逐渐升高，6周时的CK水平显著高于对照组和2周，表明</w:t>
            </w:r>
            <w:r>
              <w:rPr>
                <w:rFonts w:hint="default" w:ascii="Times New Roman" w:hAnsi="Times New Roman" w:eastAsia="宋体" w:cs="Times New Roman"/>
                <w:sz w:val="24"/>
                <w:szCs w:val="24"/>
                <w:highlight w:val="none"/>
                <w:lang w:val="en-US" w:eastAsia="zh-CN"/>
              </w:rPr>
              <w:t xml:space="preserve">D5R </w:t>
            </w:r>
            <w:r>
              <w:rPr>
                <w:rFonts w:hint="eastAsia" w:ascii="Times New Roman" w:hAnsi="Times New Roman" w:eastAsia="宋体" w:cs="Times New Roman"/>
                <w:sz w:val="24"/>
                <w:szCs w:val="24"/>
                <w:highlight w:val="none"/>
                <w:lang w:val="en-US" w:eastAsia="zh-CN"/>
              </w:rPr>
              <w:t>C</w:t>
            </w:r>
            <w:r>
              <w:rPr>
                <w:rFonts w:hint="default" w:ascii="Times New Roman" w:hAnsi="Times New Roman" w:eastAsia="宋体" w:cs="Times New Roman"/>
                <w:sz w:val="24"/>
                <w:szCs w:val="24"/>
                <w:highlight w:val="none"/>
                <w:lang w:val="en-US" w:eastAsia="zh-CN"/>
              </w:rPr>
              <w:t>KO</w:t>
            </w:r>
            <w:r>
              <w:rPr>
                <w:rFonts w:hint="eastAsia" w:ascii="Times New Roman" w:hAnsi="Times New Roman" w:eastAsia="宋体" w:cs="Times New Roman"/>
                <w:sz w:val="24"/>
                <w:szCs w:val="24"/>
                <w:highlight w:val="none"/>
                <w:lang w:val="en-US" w:eastAsia="zh-CN"/>
              </w:rPr>
              <w:t>小鼠在6周时心肌损伤最严重（</w:t>
            </w:r>
            <w:r>
              <w:rPr>
                <w:rFonts w:hint="default" w:ascii="Times New Roman" w:hAnsi="Times New Roman" w:eastAsia="宋体" w:cs="Times New Roman"/>
                <w:b/>
                <w:bCs/>
                <w:sz w:val="24"/>
                <w:szCs w:val="24"/>
                <w:highlight w:val="none"/>
                <w:lang w:val="en-US" w:eastAsia="zh-CN"/>
              </w:rPr>
              <w:t>图2A</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同时</w:t>
            </w:r>
            <w:r>
              <w:rPr>
                <w:rFonts w:hint="default" w:ascii="Times New Roman" w:hAnsi="Times New Roman" w:eastAsia="宋体" w:cs="Times New Roman"/>
                <w:sz w:val="24"/>
                <w:szCs w:val="24"/>
                <w:highlight w:val="none"/>
                <w:lang w:val="en-US" w:eastAsia="zh-CN"/>
              </w:rPr>
              <w:t>，D5R敲低6周后，心肌组织中MMP2表达明显增加</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图2B</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sz w:val="24"/>
                <w:szCs w:val="24"/>
                <w:highlight w:val="none"/>
                <w:lang w:val="en-US" w:eastAsia="zh-CN"/>
              </w:rPr>
              <w:t xml:space="preserve">，显D5R </w:t>
            </w:r>
            <w:r>
              <w:rPr>
                <w:rFonts w:hint="eastAsia" w:ascii="Times New Roman" w:hAnsi="Times New Roman" w:eastAsia="宋体" w:cs="Times New Roman"/>
                <w:sz w:val="24"/>
                <w:szCs w:val="24"/>
                <w:highlight w:val="none"/>
                <w:lang w:val="en-US" w:eastAsia="zh-CN"/>
              </w:rPr>
              <w:t>C</w:t>
            </w:r>
            <w:r>
              <w:rPr>
                <w:rFonts w:hint="default" w:ascii="Times New Roman" w:hAnsi="Times New Roman" w:eastAsia="宋体" w:cs="Times New Roman"/>
                <w:sz w:val="24"/>
                <w:szCs w:val="24"/>
                <w:highlight w:val="none"/>
                <w:lang w:val="en-US" w:eastAsia="zh-CN"/>
              </w:rPr>
              <w:t xml:space="preserve">KO小鼠严重纤维化。2周或6周时，D5R </w:t>
            </w:r>
            <w:r>
              <w:rPr>
                <w:rFonts w:hint="eastAsia" w:ascii="Times New Roman" w:hAnsi="Times New Roman" w:eastAsia="宋体" w:cs="Times New Roman"/>
                <w:sz w:val="24"/>
                <w:szCs w:val="24"/>
                <w:highlight w:val="none"/>
                <w:lang w:val="en-US" w:eastAsia="zh-CN"/>
              </w:rPr>
              <w:t>C</w:t>
            </w:r>
            <w:r>
              <w:rPr>
                <w:rFonts w:hint="default" w:ascii="Times New Roman" w:hAnsi="Times New Roman" w:eastAsia="宋体" w:cs="Times New Roman"/>
                <w:sz w:val="24"/>
                <w:szCs w:val="24"/>
                <w:highlight w:val="none"/>
                <w:lang w:val="en-US" w:eastAsia="zh-CN"/>
              </w:rPr>
              <w:t>KO组与对照组的血压无显著差异</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图2C</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sz w:val="24"/>
                <w:szCs w:val="24"/>
                <w:highlight w:val="none"/>
                <w:lang w:val="en-US" w:eastAsia="zh-CN"/>
              </w:rPr>
              <w:t>。肾素、血管紧张素II和醛固酮未见明显变化</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图2D</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结果表明，</w:t>
            </w:r>
            <w:r>
              <w:rPr>
                <w:rFonts w:hint="default" w:ascii="Times New Roman" w:hAnsi="Times New Roman" w:eastAsia="宋体" w:cs="Times New Roman"/>
                <w:sz w:val="24"/>
                <w:szCs w:val="24"/>
                <w:highlight w:val="none"/>
                <w:lang w:val="en-US" w:eastAsia="zh-CN"/>
              </w:rPr>
              <w:t xml:space="preserve">D5R </w:t>
            </w:r>
            <w:r>
              <w:rPr>
                <w:rFonts w:hint="eastAsia" w:ascii="Times New Roman" w:hAnsi="Times New Roman" w:eastAsia="宋体" w:cs="Times New Roman"/>
                <w:sz w:val="24"/>
                <w:szCs w:val="24"/>
                <w:highlight w:val="none"/>
                <w:lang w:val="en-US" w:eastAsia="zh-CN"/>
              </w:rPr>
              <w:t>C</w:t>
            </w:r>
            <w:r>
              <w:rPr>
                <w:rFonts w:hint="default" w:ascii="Times New Roman" w:hAnsi="Times New Roman" w:eastAsia="宋体" w:cs="Times New Roman"/>
                <w:sz w:val="24"/>
                <w:szCs w:val="24"/>
                <w:highlight w:val="none"/>
                <w:lang w:val="en-US" w:eastAsia="zh-CN"/>
              </w:rPr>
              <w:t>KO</w:t>
            </w:r>
            <w:r>
              <w:rPr>
                <w:rFonts w:hint="eastAsia" w:ascii="Times New Roman" w:hAnsi="Times New Roman" w:eastAsia="宋体" w:cs="Times New Roman"/>
                <w:sz w:val="24"/>
                <w:szCs w:val="24"/>
                <w:highlight w:val="none"/>
                <w:lang w:val="en-US" w:eastAsia="zh-CN"/>
              </w:rPr>
              <w:t>小鼠除了引起心肌损伤和纤维化改变外，未加重肾脏损伤及血压变化。</w:t>
            </w:r>
          </w:p>
          <w:p>
            <w:pPr>
              <w:numPr>
                <w:ilvl w:val="0"/>
                <w:numId w:val="0"/>
              </w:numPr>
              <w:bidi w:val="0"/>
              <w:spacing w:line="240" w:lineRule="auto"/>
              <w:ind w:leftChars="0" w:firstLine="480"/>
              <w:jc w:val="left"/>
              <w:rPr>
                <w:rFonts w:hint="default" w:ascii="Times New Roman" w:hAnsi="Times New Roman" w:eastAsia="宋体" w:cs="Times New Roman"/>
                <w:sz w:val="24"/>
                <w:szCs w:val="24"/>
                <w:highlight w:val="none"/>
                <w:lang w:val="en-US" w:eastAsia="zh-CN"/>
              </w:rPr>
            </w:pPr>
          </w:p>
          <w:p>
            <w:pPr>
              <w:bidi w:val="0"/>
              <w:spacing w:line="240" w:lineRule="auto"/>
              <w:jc w:val="left"/>
              <w:rPr>
                <w:rFonts w:hint="default"/>
                <w:highlight w:val="none"/>
                <w:lang w:val="en-US" w:eastAsia="zh-CN"/>
              </w:rPr>
            </w:pPr>
            <w:r>
              <w:rPr>
                <w:rFonts w:hint="default"/>
                <w:highlight w:val="none"/>
                <w:lang w:val="en-US" w:eastAsia="zh-CN"/>
              </w:rPr>
              <w:drawing>
                <wp:inline distT="0" distB="0" distL="114300" distR="114300">
                  <wp:extent cx="5621655" cy="3749675"/>
                  <wp:effectExtent l="0" t="0" r="7620" b="317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6"/>
                          <a:stretch>
                            <a:fillRect/>
                          </a:stretch>
                        </pic:blipFill>
                        <pic:spPr>
                          <a:xfrm>
                            <a:off x="0" y="0"/>
                            <a:ext cx="5621655" cy="3749675"/>
                          </a:xfrm>
                          <a:prstGeom prst="rect">
                            <a:avLst/>
                          </a:prstGeom>
                        </pic:spPr>
                      </pic:pic>
                    </a:graphicData>
                  </a:graphic>
                </wp:inline>
              </w:drawing>
            </w:r>
          </w:p>
          <w:p>
            <w:pPr>
              <w:tabs>
                <w:tab w:val="left" w:pos="806"/>
              </w:tabs>
              <w:bidi w:val="0"/>
              <w:spacing w:line="240" w:lineRule="auto"/>
              <w:jc w:val="left"/>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图2</w:t>
            </w:r>
            <w:r>
              <w:rPr>
                <w:rFonts w:hint="eastAsia" w:ascii="Times New Roman" w:hAnsi="Times New Roman" w:cs="Times New Roman"/>
                <w:b w:val="0"/>
                <w:bCs w:val="0"/>
                <w:highlight w:val="none"/>
                <w:lang w:val="en-US" w:eastAsia="zh-CN"/>
              </w:rPr>
              <w:t xml:space="preserve">. </w:t>
            </w:r>
            <w:r>
              <w:rPr>
                <w:rFonts w:hint="default" w:ascii="Times New Roman" w:hAnsi="Times New Roman" w:cs="Times New Roman"/>
                <w:b w:val="0"/>
                <w:bCs w:val="0"/>
                <w:highlight w:val="none"/>
                <w:lang w:val="en-US" w:eastAsia="zh-CN"/>
              </w:rPr>
              <w:t>D5R - KO小鼠血清生化</w:t>
            </w:r>
            <w:r>
              <w:rPr>
                <w:rFonts w:hint="eastAsia" w:ascii="Times New Roman" w:hAnsi="Times New Roman" w:cs="Times New Roman"/>
                <w:b w:val="0"/>
                <w:bCs w:val="0"/>
                <w:highlight w:val="none"/>
                <w:lang w:val="en-US" w:eastAsia="zh-CN"/>
              </w:rPr>
              <w:t>及血压</w:t>
            </w:r>
            <w:r>
              <w:rPr>
                <w:rFonts w:hint="default" w:ascii="Times New Roman" w:hAnsi="Times New Roman" w:cs="Times New Roman"/>
                <w:b w:val="0"/>
                <w:bCs w:val="0"/>
                <w:highlight w:val="none"/>
                <w:lang w:val="en-US" w:eastAsia="zh-CN"/>
              </w:rPr>
              <w:t>指标分析</w:t>
            </w:r>
            <w:r>
              <w:rPr>
                <w:rFonts w:hint="eastAsia" w:ascii="Times New Roman" w:hAnsi="Times New Roman" w:cs="Times New Roman"/>
                <w:b w:val="0"/>
                <w:bCs w:val="0"/>
                <w:highlight w:val="none"/>
                <w:lang w:val="en-US" w:eastAsia="zh-CN"/>
              </w:rPr>
              <w:t>（</w:t>
            </w:r>
            <w:r>
              <w:rPr>
                <w:rFonts w:hint="eastAsia" w:ascii="Times New Roman" w:hAnsi="Times New Roman" w:cs="Times New Roman"/>
                <w:highlight w:val="none"/>
                <w:lang w:val="en-US" w:eastAsia="zh-CN"/>
              </w:rPr>
              <w:t>n=10）</w:t>
            </w:r>
            <w:r>
              <w:rPr>
                <w:rFonts w:hint="default" w:ascii="Times New Roman" w:hAnsi="Times New Roman" w:cs="Times New Roman"/>
                <w:b w:val="0"/>
                <w:bCs w:val="0"/>
                <w:highlight w:val="none"/>
                <w:lang w:val="en-US" w:eastAsia="zh-CN"/>
              </w:rPr>
              <w:t>。A</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对照组肌酐激酶</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CK</w:t>
            </w:r>
            <w:r>
              <w:rPr>
                <w:rFonts w:hint="eastAsia" w:ascii="Times New Roman" w:hAnsi="Times New Roman" w:cs="Times New Roman"/>
                <w:b w:val="0"/>
                <w:bCs w:val="0"/>
                <w:highlight w:val="none"/>
                <w:lang w:val="en-US" w:eastAsia="zh-CN"/>
              </w:rPr>
              <w:t xml:space="preserve">, </w:t>
            </w:r>
            <w:r>
              <w:rPr>
                <w:rFonts w:hint="default" w:ascii="Times New Roman" w:hAnsi="Times New Roman" w:cs="Times New Roman"/>
                <w:b w:val="0"/>
                <w:bCs w:val="0"/>
                <w:highlight w:val="none"/>
                <w:lang w:val="en-US" w:eastAsia="zh-CN"/>
              </w:rPr>
              <w:t>μmol/L</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、尿酸</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UA, mmol/L</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 xml:space="preserve">、D5R </w:t>
            </w:r>
            <w:r>
              <w:rPr>
                <w:rFonts w:hint="eastAsia" w:ascii="Times New Roman" w:hAnsi="Times New Roman" w:cs="Times New Roman"/>
                <w:b w:val="0"/>
                <w:bCs w:val="0"/>
                <w:highlight w:val="none"/>
                <w:lang w:val="en-US" w:eastAsia="zh-CN"/>
              </w:rPr>
              <w:t>C</w:t>
            </w:r>
            <w:r>
              <w:rPr>
                <w:rFonts w:hint="default" w:ascii="Times New Roman" w:hAnsi="Times New Roman" w:cs="Times New Roman"/>
                <w:b w:val="0"/>
                <w:bCs w:val="0"/>
                <w:highlight w:val="none"/>
                <w:lang w:val="en-US" w:eastAsia="zh-CN"/>
              </w:rPr>
              <w:t xml:space="preserve">KO 2W、D5R </w:t>
            </w:r>
            <w:r>
              <w:rPr>
                <w:rFonts w:hint="eastAsia" w:ascii="Times New Roman" w:hAnsi="Times New Roman" w:cs="Times New Roman"/>
                <w:b w:val="0"/>
                <w:bCs w:val="0"/>
                <w:highlight w:val="none"/>
                <w:lang w:val="en-US" w:eastAsia="zh-CN"/>
              </w:rPr>
              <w:t>C</w:t>
            </w:r>
            <w:r>
              <w:rPr>
                <w:rFonts w:hint="default" w:ascii="Times New Roman" w:hAnsi="Times New Roman" w:cs="Times New Roman"/>
                <w:b w:val="0"/>
                <w:bCs w:val="0"/>
                <w:highlight w:val="none"/>
                <w:lang w:val="en-US" w:eastAsia="zh-CN"/>
              </w:rPr>
              <w:t>KO 6W、尿素氮</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BUN</w:t>
            </w:r>
            <w:r>
              <w:rPr>
                <w:rFonts w:hint="eastAsia" w:ascii="Times New Roman" w:hAnsi="Times New Roman" w:cs="Times New Roman"/>
                <w:b w:val="0"/>
                <w:bCs w:val="0"/>
                <w:highlight w:val="none"/>
                <w:lang w:val="en-US" w:eastAsia="zh-CN"/>
              </w:rPr>
              <w:t xml:space="preserve">, </w:t>
            </w:r>
            <w:r>
              <w:rPr>
                <w:rFonts w:hint="default" w:ascii="Times New Roman" w:hAnsi="Times New Roman" w:cs="Times New Roman"/>
                <w:b w:val="0"/>
                <w:bCs w:val="0"/>
                <w:highlight w:val="none"/>
                <w:lang w:val="en-US" w:eastAsia="zh-CN"/>
              </w:rPr>
              <w:t>μmol/L</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、肌酐</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CRE, U/L</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B</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组间MMP2表达水平</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C</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收缩压、舒张压</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D</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两组间血肾素</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pg/ml</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、血管紧张素II (pg/ml)、醛固酮</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pg/ml</w:t>
            </w:r>
            <w:r>
              <w:rPr>
                <w:rFonts w:hint="eastAsia"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val="en-US" w:eastAsia="zh-CN"/>
              </w:rPr>
              <w:t>水平。</w:t>
            </w:r>
          </w:p>
          <w:p>
            <w:pPr>
              <w:tabs>
                <w:tab w:val="left" w:pos="806"/>
              </w:tabs>
              <w:bidi w:val="0"/>
              <w:spacing w:line="240" w:lineRule="auto"/>
              <w:jc w:val="left"/>
              <w:rPr>
                <w:rFonts w:hint="default" w:ascii="Times New Roman" w:hAnsi="Times New Roman" w:cs="Times New Roman"/>
                <w:b w:val="0"/>
                <w:bCs w:val="0"/>
                <w:highlight w:val="none"/>
                <w:lang w:val="en-US" w:eastAsia="zh-CN"/>
              </w:rPr>
            </w:pPr>
          </w:p>
          <w:p>
            <w:pPr>
              <w:numPr>
                <w:ilvl w:val="0"/>
                <w:numId w:val="2"/>
              </w:numPr>
              <w:tabs>
                <w:tab w:val="left" w:pos="806"/>
              </w:tabs>
              <w:bidi w:val="0"/>
              <w:spacing w:line="240" w:lineRule="auto"/>
              <w:ind w:left="0" w:leftChars="0" w:firstLine="0" w:firstLineChars="0"/>
              <w:jc w:val="left"/>
              <w:rPr>
                <w:rFonts w:hint="eastAsia" w:ascii="Times New Roman" w:hAnsi="Times New Roman" w:eastAsia="宋体" w:cs="Times New Roman"/>
                <w:sz w:val="24"/>
                <w:szCs w:val="24"/>
                <w:highlight w:val="none"/>
                <w:lang w:val="en-US" w:eastAsia="zh-CN"/>
              </w:rPr>
            </w:pPr>
            <w:bookmarkStart w:id="3" w:name="OLE_LINK9"/>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default" w:ascii="Times New Roman" w:hAnsi="Times New Roman" w:eastAsia="宋体" w:cs="Times New Roman"/>
                <w:sz w:val="24"/>
                <w:szCs w:val="24"/>
                <w:highlight w:val="none"/>
                <w:lang w:val="en-US" w:eastAsia="zh-CN"/>
              </w:rPr>
              <w:t>小鼠</w:t>
            </w:r>
            <w:bookmarkEnd w:id="3"/>
            <w:r>
              <w:rPr>
                <w:rFonts w:hint="eastAsia" w:ascii="Times New Roman" w:hAnsi="Times New Roman" w:eastAsia="宋体" w:cs="Times New Roman"/>
                <w:sz w:val="24"/>
                <w:szCs w:val="24"/>
                <w:highlight w:val="none"/>
                <w:lang w:val="en-US" w:eastAsia="zh-CN"/>
              </w:rPr>
              <w:t>的NADPH氧化酶应激水平升高</w:t>
            </w:r>
          </w:p>
          <w:p>
            <w:pPr>
              <w:numPr>
                <w:ilvl w:val="0"/>
                <w:numId w:val="0"/>
              </w:numPr>
              <w:tabs>
                <w:tab w:val="left" w:pos="806"/>
              </w:tabs>
              <w:bidi w:val="0"/>
              <w:spacing w:line="240" w:lineRule="auto"/>
              <w:ind w:leftChars="0"/>
              <w:jc w:val="left"/>
              <w:rPr>
                <w:rFonts w:hint="default" w:ascii="Times New Roman" w:hAnsi="Times New Roman" w:eastAsia="宋体" w:cs="Times New Roman"/>
                <w:sz w:val="24"/>
                <w:szCs w:val="24"/>
                <w:highlight w:val="none"/>
                <w:lang w:val="en-US" w:eastAsia="zh-CN"/>
              </w:rPr>
            </w:pPr>
          </w:p>
          <w:p>
            <w:pPr>
              <w:numPr>
                <w:ilvl w:val="0"/>
                <w:numId w:val="0"/>
              </w:numPr>
              <w:tabs>
                <w:tab w:val="left" w:pos="806"/>
              </w:tabs>
              <w:bidi w:val="0"/>
              <w:spacing w:line="240" w:lineRule="auto"/>
              <w:ind w:leftChars="0" w:firstLine="480"/>
              <w:jc w:val="left"/>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在</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sz w:val="24"/>
                <w:szCs w:val="24"/>
                <w:highlight w:val="none"/>
                <w:lang w:val="en-US" w:eastAsia="zh-CN"/>
              </w:rPr>
              <w:t>基因全身敲除小鼠和hD</w:t>
            </w:r>
            <w:r>
              <w:rPr>
                <w:rFonts w:hint="eastAsia" w:ascii="Times New Roman" w:hAnsi="Times New Roman" w:eastAsia="宋体" w:cs="Times New Roman"/>
                <w:sz w:val="24"/>
                <w:szCs w:val="24"/>
                <w:highlight w:val="none"/>
                <w:vertAlign w:val="superscript"/>
                <w:lang w:val="en-US" w:eastAsia="zh-CN"/>
              </w:rPr>
              <w:t>5F173L</w:t>
            </w:r>
            <w:r>
              <w:rPr>
                <w:rFonts w:hint="eastAsia" w:ascii="Times New Roman" w:hAnsi="Times New Roman" w:eastAsia="宋体" w:cs="Times New Roman"/>
                <w:sz w:val="24"/>
                <w:szCs w:val="24"/>
                <w:highlight w:val="none"/>
                <w:lang w:val="en-US" w:eastAsia="zh-CN"/>
              </w:rPr>
              <w:t>-TG小鼠中，肾NADPH氧化酶活性升高。因此，本研究随后探索了NADPH氧化酶抑制剂Apocynin （Apo）对</w:t>
            </w:r>
            <w:bookmarkStart w:id="4" w:name="OLE_LINK10"/>
            <w:r>
              <w:rPr>
                <w:rFonts w:hint="eastAsia" w:ascii="Times New Roman" w:hAnsi="Times New Roman" w:eastAsia="宋体" w:cs="Times New Roman"/>
                <w:sz w:val="24"/>
                <w:szCs w:val="24"/>
                <w:highlight w:val="none"/>
                <w:lang w:val="en-US" w:eastAsia="zh-CN"/>
              </w:rPr>
              <w:t>D5R CKO</w:t>
            </w:r>
            <w:bookmarkEnd w:id="4"/>
            <w:r>
              <w:rPr>
                <w:rFonts w:hint="eastAsia" w:ascii="Times New Roman" w:hAnsi="Times New Roman" w:eastAsia="宋体" w:cs="Times New Roman"/>
                <w:sz w:val="24"/>
                <w:szCs w:val="24"/>
                <w:highlight w:val="none"/>
                <w:lang w:val="en-US" w:eastAsia="zh-CN"/>
              </w:rPr>
              <w:t>小鼠心力衰竭进展的影响。在6周的研究期结束时，D5R CKO小鼠的心脏比野生型小鼠大，而Apo处理的D5R CKO小鼠明显逆转了表型（</w:t>
            </w:r>
            <w:r>
              <w:rPr>
                <w:rFonts w:hint="eastAsia" w:ascii="Times New Roman" w:hAnsi="Times New Roman" w:eastAsia="宋体" w:cs="Times New Roman"/>
                <w:b/>
                <w:bCs/>
                <w:sz w:val="24"/>
                <w:szCs w:val="24"/>
                <w:highlight w:val="none"/>
                <w:lang w:val="en-US" w:eastAsia="zh-CN"/>
              </w:rPr>
              <w:t>图3A）</w:t>
            </w:r>
            <w:r>
              <w:rPr>
                <w:rFonts w:hint="eastAsia" w:ascii="Times New Roman" w:hAnsi="Times New Roman" w:eastAsia="宋体" w:cs="Times New Roman"/>
                <w:sz w:val="24"/>
                <w:szCs w:val="24"/>
                <w:highlight w:val="none"/>
                <w:lang w:val="en-US" w:eastAsia="zh-CN"/>
              </w:rPr>
              <w:t>。与D5R CKO小鼠相比，Apo处理小鼠显著增加了射血分数（EF%）、短轴缩短率（FS%）并减少了心肌细胞表面积（</w:t>
            </w:r>
            <w:r>
              <w:rPr>
                <w:rFonts w:hint="eastAsia" w:ascii="Times New Roman" w:hAnsi="Times New Roman" w:eastAsia="宋体" w:cs="Times New Roman"/>
                <w:b/>
                <w:bCs/>
                <w:sz w:val="24"/>
                <w:szCs w:val="24"/>
                <w:highlight w:val="none"/>
                <w:lang w:val="en-US" w:eastAsia="zh-CN"/>
              </w:rPr>
              <w:t>图3B和C）</w:t>
            </w:r>
            <w:r>
              <w:rPr>
                <w:rFonts w:hint="eastAsia" w:ascii="Times New Roman" w:hAnsi="Times New Roman" w:eastAsia="宋体" w:cs="Times New Roman"/>
                <w:sz w:val="24"/>
                <w:szCs w:val="24"/>
                <w:highlight w:val="none"/>
                <w:lang w:val="en-US" w:eastAsia="zh-CN"/>
              </w:rPr>
              <w:t>。本研究结果表明，Apo显著抑制了D5R CKO小鼠心力衰竭的进展，抑制了心肌重塑，改善了KO小鼠的心功能。用载脂蛋白治疗可以减轻氧化应激，导致D5R CKO小鼠的心肌损伤标志物（CK、CK- mb和cTnI）水平与对照组相比基本不变（补充材料）。WGA染色表明，Apo处理可以抑制心脏重构，因为与D5R-CKO 6w组相比，心肌细胞的横截面面积显著减少（</w:t>
            </w:r>
            <w:r>
              <w:rPr>
                <w:rFonts w:hint="eastAsia" w:ascii="Times New Roman" w:hAnsi="Times New Roman" w:eastAsia="宋体" w:cs="Times New Roman"/>
                <w:b/>
                <w:bCs/>
                <w:sz w:val="24"/>
                <w:szCs w:val="24"/>
                <w:highlight w:val="none"/>
                <w:lang w:val="en-US" w:eastAsia="zh-CN"/>
              </w:rPr>
              <w:t>图3D, E）</w:t>
            </w:r>
            <w:r>
              <w:rPr>
                <w:rFonts w:hint="eastAsia" w:ascii="Times New Roman" w:hAnsi="Times New Roman" w:eastAsia="宋体" w:cs="Times New Roman"/>
                <w:sz w:val="24"/>
                <w:szCs w:val="24"/>
                <w:highlight w:val="none"/>
                <w:lang w:val="en-US" w:eastAsia="zh-CN"/>
              </w:rPr>
              <w:t>。此外，Masson和HE染色显示，与D5R CKO小鼠相比，Apo处理减少了心肌纤维化和凋亡（</w:t>
            </w:r>
            <w:r>
              <w:rPr>
                <w:rFonts w:hint="eastAsia" w:ascii="Times New Roman" w:hAnsi="Times New Roman" w:eastAsia="宋体" w:cs="Times New Roman"/>
                <w:b/>
                <w:bCs/>
                <w:sz w:val="24"/>
                <w:szCs w:val="24"/>
                <w:highlight w:val="none"/>
                <w:lang w:val="en-US" w:eastAsia="zh-CN"/>
              </w:rPr>
              <w:t>图3F, G）</w:t>
            </w:r>
            <w:r>
              <w:rPr>
                <w:rFonts w:hint="eastAsia" w:ascii="Times New Roman" w:hAnsi="Times New Roman" w:eastAsia="宋体" w:cs="Times New Roman"/>
                <w:sz w:val="24"/>
                <w:szCs w:val="24"/>
                <w:highlight w:val="none"/>
                <w:lang w:val="en-US" w:eastAsia="zh-CN"/>
              </w:rPr>
              <w:t>。在Apo处理的小鼠中，NADPH氧化酶特异性同型异构体p40的表达，与D5R CKO 6W小鼠相比显著降低（</w:t>
            </w:r>
            <w:r>
              <w:rPr>
                <w:rFonts w:hint="eastAsia" w:ascii="Times New Roman" w:hAnsi="Times New Roman" w:eastAsia="宋体" w:cs="Times New Roman"/>
                <w:b/>
                <w:bCs/>
                <w:sz w:val="24"/>
                <w:szCs w:val="24"/>
                <w:highlight w:val="none"/>
                <w:lang w:val="en-US" w:eastAsia="zh-CN"/>
              </w:rPr>
              <w:t>图3H）</w:t>
            </w:r>
            <w:r>
              <w:rPr>
                <w:rFonts w:hint="eastAsia" w:ascii="Times New Roman" w:hAnsi="Times New Roman" w:eastAsia="宋体" w:cs="Times New Roman"/>
                <w:sz w:val="24"/>
                <w:szCs w:val="24"/>
                <w:highlight w:val="none"/>
                <w:lang w:val="en-US" w:eastAsia="zh-CN"/>
              </w:rPr>
              <w:t>。此外，与D5R CKO 6W小鼠相比，apo处理小鼠中MMP2和MMP9的表达也显著降低（</w:t>
            </w:r>
            <w:r>
              <w:rPr>
                <w:rFonts w:hint="eastAsia" w:ascii="Times New Roman" w:hAnsi="Times New Roman" w:eastAsia="宋体" w:cs="Times New Roman"/>
                <w:b/>
                <w:bCs/>
                <w:sz w:val="24"/>
                <w:szCs w:val="24"/>
                <w:highlight w:val="none"/>
                <w:lang w:val="en-US" w:eastAsia="zh-CN"/>
              </w:rPr>
              <w:t>图3H）</w:t>
            </w:r>
            <w:r>
              <w:rPr>
                <w:rFonts w:hint="eastAsia" w:ascii="Times New Roman" w:hAnsi="Times New Roman" w:eastAsia="宋体" w:cs="Times New Roman"/>
                <w:sz w:val="24"/>
                <w:szCs w:val="24"/>
                <w:highlight w:val="none"/>
                <w:lang w:val="en-US" w:eastAsia="zh-CN"/>
              </w:rPr>
              <w:t>。提示载脂蛋白治疗可通过减轻氧化应激而减少心肌纤维化和细胞凋亡，从而改善心功能。</w:t>
            </w:r>
          </w:p>
          <w:p>
            <w:pPr>
              <w:numPr>
                <w:ilvl w:val="0"/>
                <w:numId w:val="0"/>
              </w:numPr>
              <w:tabs>
                <w:tab w:val="left" w:pos="806"/>
              </w:tabs>
              <w:bidi w:val="0"/>
              <w:spacing w:line="240" w:lineRule="auto"/>
              <w:ind w:leftChars="0" w:firstLine="480"/>
              <w:jc w:val="left"/>
              <w:rPr>
                <w:highlight w:val="none"/>
              </w:rPr>
            </w:pPr>
          </w:p>
          <w:p>
            <w:pPr>
              <w:bidi w:val="0"/>
              <w:spacing w:line="240" w:lineRule="auto"/>
              <w:rPr>
                <w:rFonts w:hint="default" w:asciiTheme="minorHAnsi" w:hAnsiTheme="minorHAnsi" w:eastAsiaTheme="minorEastAsia" w:cstheme="minorBidi"/>
                <w:kern w:val="2"/>
                <w:sz w:val="21"/>
                <w:szCs w:val="24"/>
                <w:highlight w:val="none"/>
                <w:lang w:val="en-US" w:eastAsia="zh-CN" w:bidi="ar-SA"/>
              </w:rPr>
            </w:pPr>
          </w:p>
          <w:p>
            <w:pPr>
              <w:bidi w:val="0"/>
              <w:spacing w:line="240" w:lineRule="auto"/>
              <w:rPr>
                <w:rFonts w:hint="default"/>
                <w:highlight w:val="none"/>
                <w:lang w:val="en-US" w:eastAsia="zh-CN"/>
              </w:rPr>
            </w:pPr>
          </w:p>
          <w:p>
            <w:pPr>
              <w:bidi w:val="0"/>
              <w:spacing w:line="240" w:lineRule="auto"/>
              <w:rPr>
                <w:rFonts w:hint="default"/>
                <w:highlight w:val="none"/>
                <w:lang w:val="en-US" w:eastAsia="zh-CN"/>
              </w:rPr>
            </w:pPr>
          </w:p>
          <w:p>
            <w:pPr>
              <w:bidi w:val="0"/>
              <w:spacing w:line="240" w:lineRule="auto"/>
              <w:rPr>
                <w:rFonts w:hint="default"/>
                <w:highlight w:val="none"/>
                <w:lang w:val="en-US" w:eastAsia="zh-CN"/>
              </w:rPr>
            </w:pPr>
          </w:p>
          <w:p>
            <w:pPr>
              <w:bidi w:val="0"/>
              <w:spacing w:line="240" w:lineRule="auto"/>
              <w:rPr>
                <w:rFonts w:hint="default"/>
                <w:highlight w:val="none"/>
                <w:lang w:val="en-US" w:eastAsia="zh-CN"/>
              </w:rPr>
            </w:pPr>
          </w:p>
          <w:p>
            <w:pPr>
              <w:bidi w:val="0"/>
              <w:spacing w:line="240" w:lineRule="auto"/>
              <w:rPr>
                <w:rFonts w:hint="default" w:ascii="Times New Roman" w:hAnsi="Times New Roman" w:cs="Times New Roman"/>
                <w:highlight w:val="none"/>
                <w:lang w:val="en-US" w:eastAsia="zh-CN"/>
              </w:rPr>
            </w:pPr>
            <w:r>
              <w:rPr>
                <w:rFonts w:hint="default"/>
                <w:highlight w:val="none"/>
                <w:lang w:val="en-US" w:eastAsia="zh-CN"/>
              </w:rPr>
              <w:drawing>
                <wp:inline distT="0" distB="0" distL="114300" distR="114300">
                  <wp:extent cx="5620385" cy="4075430"/>
                  <wp:effectExtent l="0" t="0" r="8890" b="1270"/>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7"/>
                          <a:stretch>
                            <a:fillRect/>
                          </a:stretch>
                        </pic:blipFill>
                        <pic:spPr>
                          <a:xfrm>
                            <a:off x="0" y="0"/>
                            <a:ext cx="5620385" cy="4075430"/>
                          </a:xfrm>
                          <a:prstGeom prst="rect">
                            <a:avLst/>
                          </a:prstGeom>
                        </pic:spPr>
                      </pic:pic>
                    </a:graphicData>
                  </a:graphic>
                </wp:inline>
              </w:drawing>
            </w:r>
          </w:p>
          <w:p>
            <w:pPr>
              <w:bidi w:val="0"/>
              <w:spacing w:line="240" w:lineRule="auto"/>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 xml:space="preserve">图3。抗氧化剂罗布麻素可显著减轻D5R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KO小鼠心力衰竭</w:t>
            </w:r>
            <w:r>
              <w:rPr>
                <w:rFonts w:hint="eastAsia" w:ascii="Times New Roman" w:hAnsi="Times New Roman" w:cs="Times New Roman"/>
                <w:highlight w:val="none"/>
                <w:lang w:val="en-US" w:eastAsia="zh-CN"/>
              </w:rPr>
              <w:t>（n=10）</w:t>
            </w:r>
            <w:r>
              <w:rPr>
                <w:rFonts w:hint="default" w:ascii="Times New Roman" w:hAnsi="Times New Roman" w:cs="Times New Roman"/>
                <w:highlight w:val="none"/>
                <w:lang w:val="en-US" w:eastAsia="zh-CN"/>
              </w:rPr>
              <w:t>。A</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 xml:space="preserve">对照组、D5R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 xml:space="preserve">KO 6W组和D5R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KO 6W+Apocinin组心脏大体形态的比较</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B、C</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组间心脏超声表现比较及组间射血分数</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EF</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、心脏短轴缩短</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FS</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比较</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D、E</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各组心肌细胞WGA染色比较及各组心肌细胞平均横截面积比较</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um2</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F、G: HE染色</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100um</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和Masson染色</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50um</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分析。H</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各组P40、MMP2、MMP9的表达情况。</w:t>
            </w:r>
          </w:p>
          <w:p>
            <w:pPr>
              <w:bidi w:val="0"/>
              <w:spacing w:line="240" w:lineRule="auto"/>
              <w:jc w:val="left"/>
              <w:rPr>
                <w:rFonts w:hint="default" w:ascii="Times New Roman" w:hAnsi="Times New Roman" w:cs="Times New Roman"/>
                <w:highlight w:val="none"/>
                <w:lang w:val="en-US" w:eastAsia="zh-CN"/>
              </w:rPr>
            </w:pPr>
          </w:p>
          <w:p>
            <w:pPr>
              <w:numPr>
                <w:ilvl w:val="0"/>
                <w:numId w:val="0"/>
              </w:numPr>
              <w:tabs>
                <w:tab w:val="left" w:pos="806"/>
              </w:tabs>
              <w:bidi w:val="0"/>
              <w:spacing w:line="240" w:lineRule="auto"/>
              <w:jc w:val="left"/>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线粒体氧化应激参与</w:t>
            </w:r>
            <w:bookmarkStart w:id="5" w:name="OLE_LINK11"/>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myh6-creERT2小鼠</w:t>
            </w:r>
            <w:bookmarkEnd w:id="5"/>
            <w:r>
              <w:rPr>
                <w:rFonts w:hint="default" w:ascii="Times New Roman" w:hAnsi="Times New Roman" w:eastAsia="宋体" w:cs="Times New Roman"/>
                <w:sz w:val="24"/>
                <w:szCs w:val="24"/>
                <w:highlight w:val="none"/>
                <w:lang w:val="en-US" w:eastAsia="zh-CN"/>
              </w:rPr>
              <w:t>的心力衰竭</w:t>
            </w:r>
          </w:p>
          <w:p>
            <w:pPr>
              <w:numPr>
                <w:ilvl w:val="0"/>
                <w:numId w:val="0"/>
              </w:numPr>
              <w:tabs>
                <w:tab w:val="left" w:pos="806"/>
              </w:tabs>
              <w:bidi w:val="0"/>
              <w:spacing w:line="240" w:lineRule="auto"/>
              <w:ind w:leftChars="0" w:firstLine="480"/>
              <w:jc w:val="left"/>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Tempol可以促进活性氧的代谢，提高一氧化氮的生物利用度，可以保护线粒体免受氧化损伤，且靶向线粒体的Mito-TEMPO已被广泛用作抗氧化剂。本研究利用</w:t>
            </w:r>
            <w:r>
              <w:rPr>
                <w:rFonts w:hint="default" w:ascii="Times New Roman" w:hAnsi="Times New Roman" w:eastAsia="宋体" w:cs="Times New Roman"/>
                <w:sz w:val="24"/>
                <w:szCs w:val="24"/>
                <w:highlight w:val="none"/>
                <w:lang w:val="en-US" w:eastAsia="zh-CN"/>
              </w:rPr>
              <w:t>Tempol</w:t>
            </w:r>
            <w:r>
              <w:rPr>
                <w:rFonts w:hint="eastAsia" w:ascii="Times New Roman" w:hAnsi="Times New Roman" w:eastAsia="宋体" w:cs="Times New Roman"/>
                <w:sz w:val="24"/>
                <w:szCs w:val="24"/>
                <w:highlight w:val="none"/>
                <w:lang w:val="en-US" w:eastAsia="zh-CN"/>
              </w:rPr>
              <w:t>和</w:t>
            </w:r>
            <w:r>
              <w:rPr>
                <w:rFonts w:hint="default" w:ascii="Times New Roman" w:hAnsi="Times New Roman" w:eastAsia="宋体" w:cs="Times New Roman"/>
                <w:sz w:val="24"/>
                <w:szCs w:val="24"/>
                <w:highlight w:val="none"/>
                <w:lang w:val="en-US" w:eastAsia="zh-CN"/>
              </w:rPr>
              <w:t>Mito-TEMPO</w:t>
            </w:r>
            <w:r>
              <w:rPr>
                <w:rFonts w:hint="eastAsia" w:ascii="Times New Roman" w:hAnsi="Times New Roman" w:eastAsia="宋体" w:cs="Times New Roman"/>
                <w:sz w:val="24"/>
                <w:szCs w:val="24"/>
                <w:highlight w:val="none"/>
                <w:lang w:val="en-US" w:eastAsia="zh-CN"/>
              </w:rPr>
              <w:t>评价线粒体氧化应激是否参与</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myh6-creERT2小鼠的心力衰竭</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结果</w:t>
            </w:r>
            <w:r>
              <w:rPr>
                <w:rFonts w:hint="default" w:ascii="Times New Roman" w:hAnsi="Times New Roman" w:eastAsia="宋体" w:cs="Times New Roman"/>
                <w:sz w:val="24"/>
                <w:szCs w:val="24"/>
                <w:highlight w:val="none"/>
                <w:lang w:val="en-US" w:eastAsia="zh-CN"/>
              </w:rPr>
              <w:t>发现两种化合物都能显著减小心脏大小，改善心功能，挽救射血分数和短轴缩短率</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图4A, B</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sz w:val="24"/>
                <w:szCs w:val="24"/>
                <w:highlight w:val="none"/>
                <w:lang w:val="en-US" w:eastAsia="zh-CN"/>
              </w:rPr>
              <w:t xml:space="preserve">。WGA染色和Masson染色显示，与D5R </w:t>
            </w:r>
            <w:r>
              <w:rPr>
                <w:rFonts w:hint="eastAsia" w:ascii="Times New Roman" w:hAnsi="Times New Roman" w:eastAsia="宋体" w:cs="Times New Roman"/>
                <w:sz w:val="24"/>
                <w:szCs w:val="24"/>
                <w:highlight w:val="none"/>
                <w:lang w:val="en-US" w:eastAsia="zh-CN"/>
              </w:rPr>
              <w:t>C</w:t>
            </w:r>
            <w:r>
              <w:rPr>
                <w:rFonts w:hint="default" w:ascii="Times New Roman" w:hAnsi="Times New Roman" w:eastAsia="宋体" w:cs="Times New Roman"/>
                <w:sz w:val="24"/>
                <w:szCs w:val="24"/>
                <w:highlight w:val="none"/>
                <w:lang w:val="en-US" w:eastAsia="zh-CN"/>
              </w:rPr>
              <w:t>KO组</w:t>
            </w:r>
            <w:r>
              <w:rPr>
                <w:rFonts w:hint="eastAsia" w:ascii="Times New Roman" w:hAnsi="Times New Roman" w:eastAsia="宋体" w:cs="Times New Roman"/>
                <w:sz w:val="24"/>
                <w:szCs w:val="24"/>
                <w:highlight w:val="none"/>
                <w:lang w:val="en-US" w:eastAsia="zh-CN"/>
              </w:rPr>
              <w:t>比较</w:t>
            </w:r>
            <w:r>
              <w:rPr>
                <w:rFonts w:hint="default" w:ascii="Times New Roman" w:hAnsi="Times New Roman" w:eastAsia="宋体" w:cs="Times New Roman"/>
                <w:sz w:val="24"/>
                <w:szCs w:val="24"/>
                <w:highlight w:val="none"/>
                <w:lang w:val="en-US" w:eastAsia="zh-CN"/>
              </w:rPr>
              <w:t>，Tempol</w:t>
            </w:r>
            <w:r>
              <w:rPr>
                <w:rFonts w:hint="eastAsia" w:ascii="Times New Roman" w:hAnsi="Times New Roman" w:eastAsia="宋体" w:cs="Times New Roman"/>
                <w:sz w:val="24"/>
                <w:szCs w:val="24"/>
                <w:highlight w:val="none"/>
                <w:lang w:val="en-US" w:eastAsia="zh-CN"/>
              </w:rPr>
              <w:t>和</w:t>
            </w:r>
            <w:r>
              <w:rPr>
                <w:rFonts w:hint="default" w:ascii="Times New Roman" w:hAnsi="Times New Roman" w:eastAsia="宋体" w:cs="Times New Roman"/>
                <w:sz w:val="24"/>
                <w:szCs w:val="24"/>
                <w:highlight w:val="none"/>
                <w:lang w:val="en-US" w:eastAsia="zh-CN"/>
              </w:rPr>
              <w:t>Mito-TEMPO治疗小鼠</w:t>
            </w:r>
            <w:r>
              <w:rPr>
                <w:rFonts w:hint="eastAsia" w:ascii="Times New Roman" w:hAnsi="Times New Roman" w:eastAsia="宋体" w:cs="Times New Roman"/>
                <w:sz w:val="24"/>
                <w:szCs w:val="24"/>
                <w:highlight w:val="none"/>
                <w:lang w:val="en-US" w:eastAsia="zh-CN"/>
              </w:rPr>
              <w:t>均</w:t>
            </w:r>
            <w:r>
              <w:rPr>
                <w:rFonts w:hint="default" w:ascii="Times New Roman" w:hAnsi="Times New Roman" w:eastAsia="宋体" w:cs="Times New Roman"/>
                <w:sz w:val="24"/>
                <w:szCs w:val="24"/>
                <w:highlight w:val="none"/>
                <w:lang w:val="en-US" w:eastAsia="zh-CN"/>
              </w:rPr>
              <w:t>未表现出明显的心脏重塑或心肌细胞肥大</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图4C,D</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sz w:val="24"/>
                <w:szCs w:val="24"/>
                <w:highlight w:val="none"/>
                <w:lang w:val="en-US" w:eastAsia="zh-CN"/>
              </w:rPr>
              <w:t xml:space="preserve">。与D5R </w:t>
            </w:r>
            <w:r>
              <w:rPr>
                <w:rFonts w:hint="eastAsia" w:ascii="Times New Roman" w:hAnsi="Times New Roman" w:eastAsia="宋体" w:cs="Times New Roman"/>
                <w:sz w:val="24"/>
                <w:szCs w:val="24"/>
                <w:highlight w:val="none"/>
                <w:lang w:val="en-US" w:eastAsia="zh-CN"/>
              </w:rPr>
              <w:t>C</w:t>
            </w:r>
            <w:r>
              <w:rPr>
                <w:rFonts w:hint="default" w:ascii="Times New Roman" w:hAnsi="Times New Roman" w:eastAsia="宋体" w:cs="Times New Roman"/>
                <w:sz w:val="24"/>
                <w:szCs w:val="24"/>
                <w:highlight w:val="none"/>
                <w:lang w:val="en-US" w:eastAsia="zh-CN"/>
              </w:rPr>
              <w:t>KO 6W组相比，Tempol和Mito-TEMPO处理小鼠心脏组织中MMP2和MMP9的表达下调</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bCs/>
                <w:i w:val="0"/>
                <w:iCs w:val="0"/>
                <w:sz w:val="24"/>
                <w:szCs w:val="24"/>
                <w:highlight w:val="none"/>
                <w:lang w:val="en-US" w:eastAsia="zh-CN"/>
              </w:rPr>
              <w:t>图5A, B</w:t>
            </w:r>
            <w:r>
              <w:rPr>
                <w:rFonts w:hint="eastAsia" w:ascii="Times New Roman" w:hAnsi="Times New Roman" w:eastAsia="宋体" w:cs="Times New Roman"/>
                <w:b/>
                <w:bCs/>
                <w:i w:val="0"/>
                <w:iCs w:val="0"/>
                <w:sz w:val="24"/>
                <w:szCs w:val="24"/>
                <w:highlight w:val="none"/>
                <w:lang w:val="en-US" w:eastAsia="zh-CN"/>
              </w:rPr>
              <w:t>）</w:t>
            </w:r>
            <w:r>
              <w:rPr>
                <w:rFonts w:hint="default" w:ascii="Times New Roman" w:hAnsi="Times New Roman" w:eastAsia="宋体" w:cs="Times New Roman"/>
                <w:sz w:val="24"/>
                <w:szCs w:val="24"/>
                <w:highlight w:val="none"/>
                <w:lang w:val="en-US" w:eastAsia="zh-CN"/>
              </w:rPr>
              <w:t>。此外，</w:t>
            </w:r>
            <w:r>
              <w:rPr>
                <w:rFonts w:hint="eastAsia" w:ascii="Times New Roman" w:hAnsi="Times New Roman" w:eastAsia="宋体" w:cs="Times New Roman"/>
                <w:sz w:val="24"/>
                <w:szCs w:val="24"/>
                <w:highlight w:val="none"/>
                <w:lang w:val="en-US" w:eastAsia="zh-CN"/>
              </w:rPr>
              <w:t>本研究还发现</w:t>
            </w:r>
            <w:r>
              <w:rPr>
                <w:rFonts w:hint="default" w:ascii="Times New Roman" w:hAnsi="Times New Roman" w:eastAsia="宋体" w:cs="Times New Roman"/>
                <w:sz w:val="24"/>
                <w:szCs w:val="24"/>
                <w:highlight w:val="none"/>
                <w:lang w:val="en-US" w:eastAsia="zh-CN"/>
              </w:rPr>
              <w:t xml:space="preserve">D5R </w:t>
            </w:r>
            <w:r>
              <w:rPr>
                <w:rFonts w:hint="eastAsia" w:ascii="Times New Roman" w:hAnsi="Times New Roman" w:eastAsia="宋体" w:cs="Times New Roman"/>
                <w:sz w:val="24"/>
                <w:szCs w:val="24"/>
                <w:highlight w:val="none"/>
                <w:lang w:val="en-US" w:eastAsia="zh-CN"/>
              </w:rPr>
              <w:t>C</w:t>
            </w:r>
            <w:r>
              <w:rPr>
                <w:rFonts w:hint="default" w:ascii="Times New Roman" w:hAnsi="Times New Roman" w:eastAsia="宋体" w:cs="Times New Roman"/>
                <w:sz w:val="24"/>
                <w:szCs w:val="24"/>
                <w:highlight w:val="none"/>
                <w:lang w:val="en-US" w:eastAsia="zh-CN"/>
              </w:rPr>
              <w:t>KO 6W小鼠线粒体呼吸电子链相关蛋白</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NDUFB8、SDHB、UQCRC2、MTCO2、ATP5A1</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的表达下调，线粒体功能受损。其中UQCRC2、MTCO2和ATP5A1的表达差异最为显著</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图5C, D</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sz w:val="24"/>
                <w:szCs w:val="24"/>
                <w:highlight w:val="none"/>
                <w:lang w:val="en-US" w:eastAsia="zh-CN"/>
              </w:rPr>
              <w:t>，而Tempol和Mito-TEMPO处理组与对照组相比，这些蛋白的表达没有明显变化</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b/>
                <w:bCs/>
                <w:sz w:val="24"/>
                <w:szCs w:val="24"/>
                <w:highlight w:val="none"/>
                <w:lang w:val="en-US" w:eastAsia="zh-CN"/>
              </w:rPr>
              <w:t>图5C, D, E</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sz w:val="24"/>
                <w:szCs w:val="24"/>
                <w:highlight w:val="none"/>
                <w:lang w:val="en-US" w:eastAsia="zh-CN"/>
              </w:rPr>
              <w:t>。这些发现表明，促进ROS的氧化代谢有效地控制了线粒体功能异常，在很大程度上抑制了D5R敲除小鼠心力衰竭的进展。上述结果</w:t>
            </w:r>
            <w:r>
              <w:rPr>
                <w:rFonts w:hint="eastAsia" w:ascii="Times New Roman" w:hAnsi="Times New Roman" w:eastAsia="宋体" w:cs="Times New Roman"/>
                <w:sz w:val="24"/>
                <w:szCs w:val="24"/>
                <w:highlight w:val="none"/>
                <w:lang w:val="en-US" w:eastAsia="zh-CN"/>
              </w:rPr>
              <w:t>表明</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线粒体氧化应激参与了D5R CKO小鼠的心衰进展，而</w:t>
            </w:r>
            <w:r>
              <w:rPr>
                <w:rFonts w:hint="default" w:ascii="Times New Roman" w:hAnsi="Times New Roman" w:eastAsia="宋体" w:cs="Times New Roman"/>
                <w:sz w:val="24"/>
                <w:szCs w:val="24"/>
                <w:highlight w:val="none"/>
                <w:lang w:val="en-US" w:eastAsia="zh-CN"/>
              </w:rPr>
              <w:t xml:space="preserve">线粒体抗氧化剂能显著改善D5R </w:t>
            </w:r>
            <w:r>
              <w:rPr>
                <w:rFonts w:hint="eastAsia" w:ascii="Times New Roman" w:hAnsi="Times New Roman" w:eastAsia="宋体" w:cs="Times New Roman"/>
                <w:sz w:val="24"/>
                <w:szCs w:val="24"/>
                <w:highlight w:val="none"/>
                <w:lang w:val="en-US" w:eastAsia="zh-CN"/>
              </w:rPr>
              <w:t>C</w:t>
            </w:r>
            <w:r>
              <w:rPr>
                <w:rFonts w:hint="default" w:ascii="Times New Roman" w:hAnsi="Times New Roman" w:eastAsia="宋体" w:cs="Times New Roman"/>
                <w:sz w:val="24"/>
                <w:szCs w:val="24"/>
                <w:highlight w:val="none"/>
                <w:lang w:val="en-US" w:eastAsia="zh-CN"/>
              </w:rPr>
              <w:t>KO小鼠的心功能，抑制心力衰竭的进展。</w:t>
            </w:r>
          </w:p>
          <w:p>
            <w:pPr>
              <w:numPr>
                <w:ilvl w:val="0"/>
                <w:numId w:val="0"/>
              </w:numPr>
              <w:bidi w:val="0"/>
              <w:spacing w:line="240" w:lineRule="auto"/>
              <w:ind w:firstLine="480" w:firstLineChars="200"/>
              <w:jc w:val="left"/>
              <w:rPr>
                <w:rFonts w:hint="default" w:ascii="Times New Roman" w:hAnsi="Times New Roman" w:cs="Times New Roman"/>
                <w:sz w:val="24"/>
                <w:szCs w:val="24"/>
                <w:highlight w:val="none"/>
                <w:lang w:val="en-US" w:eastAsia="zh-CN"/>
              </w:rPr>
            </w:pPr>
          </w:p>
          <w:p>
            <w:pPr>
              <w:numPr>
                <w:ilvl w:val="0"/>
                <w:numId w:val="0"/>
              </w:numPr>
              <w:bidi w:val="0"/>
              <w:spacing w:line="240" w:lineRule="auto"/>
              <w:jc w:val="left"/>
              <w:rPr>
                <w:rFonts w:hint="default"/>
                <w:highlight w:val="none"/>
                <w:lang w:val="en-US" w:eastAsia="zh-CN"/>
              </w:rPr>
            </w:pPr>
            <w:r>
              <w:rPr>
                <w:rFonts w:hint="default" w:ascii="Times New Roman" w:hAnsi="Times New Roman" w:cs="Times New Roman"/>
                <w:sz w:val="24"/>
                <w:szCs w:val="24"/>
                <w:highlight w:val="none"/>
                <w:lang w:val="en-US" w:eastAsia="zh-CN"/>
              </w:rPr>
              <w:drawing>
                <wp:inline distT="0" distB="0" distL="114300" distR="114300">
                  <wp:extent cx="5540375" cy="4177030"/>
                  <wp:effectExtent l="0" t="0" r="3175" b="4445"/>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8"/>
                          <a:stretch>
                            <a:fillRect/>
                          </a:stretch>
                        </pic:blipFill>
                        <pic:spPr>
                          <a:xfrm>
                            <a:off x="0" y="0"/>
                            <a:ext cx="5540375" cy="4177030"/>
                          </a:xfrm>
                          <a:prstGeom prst="rect">
                            <a:avLst/>
                          </a:prstGeom>
                        </pic:spPr>
                      </pic:pic>
                    </a:graphicData>
                  </a:graphic>
                </wp:inline>
              </w:drawing>
            </w:r>
          </w:p>
          <w:p>
            <w:pPr>
              <w:bidi w:val="0"/>
              <w:spacing w:line="240" w:lineRule="auto"/>
              <w:jc w:val="left"/>
              <w:rPr>
                <w:rFonts w:hint="default" w:ascii="Times New Roman" w:hAnsi="Times New Roman" w:cs="Times New Roman"/>
                <w:highlight w:val="none"/>
                <w:lang w:val="en-US" w:eastAsia="zh-CN"/>
              </w:rPr>
            </w:pPr>
          </w:p>
          <w:p>
            <w:pPr>
              <w:bidi w:val="0"/>
              <w:spacing w:line="240" w:lineRule="auto"/>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 xml:space="preserve">图4. 抗氧化剂Tempol和Mito-TEMPO均可减轻D5R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KO小鼠的心力衰竭</w:t>
            </w:r>
            <w:r>
              <w:rPr>
                <w:rFonts w:hint="eastAsia" w:ascii="Times New Roman" w:hAnsi="Times New Roman" w:cs="Times New Roman"/>
                <w:highlight w:val="none"/>
                <w:lang w:val="en-US" w:eastAsia="zh-CN"/>
              </w:rPr>
              <w:t>（n=10）</w:t>
            </w:r>
            <w:r>
              <w:rPr>
                <w:rFonts w:hint="default" w:ascii="Times New Roman" w:hAnsi="Times New Roman" w:cs="Times New Roman"/>
                <w:highlight w:val="none"/>
                <w:lang w:val="en-US" w:eastAsia="zh-CN"/>
              </w:rPr>
              <w:t>。A</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 xml:space="preserve">对照组、D5R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 xml:space="preserve">KO 6W组、D5R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 xml:space="preserve">KO+Tempol组、D5R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KO+Mito-TEMPO组心脏超声</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B</w:t>
            </w:r>
            <w:r>
              <w:rPr>
                <w:rFonts w:hint="eastAsia" w:ascii="Times New Roman" w:hAnsi="Times New Roman" w:cs="Times New Roman"/>
                <w:highlight w:val="none"/>
                <w:lang w:val="en-US" w:eastAsia="zh-CN"/>
              </w:rPr>
              <w:t>：各</w:t>
            </w:r>
            <w:r>
              <w:rPr>
                <w:rFonts w:hint="default" w:ascii="Times New Roman" w:hAnsi="Times New Roman" w:cs="Times New Roman"/>
                <w:highlight w:val="none"/>
                <w:lang w:val="en-US" w:eastAsia="zh-CN"/>
              </w:rPr>
              <w:t>组间</w:t>
            </w:r>
            <w:r>
              <w:rPr>
                <w:rFonts w:hint="eastAsia" w:ascii="Times New Roman" w:hAnsi="Times New Roman" w:cs="Times New Roman"/>
                <w:highlight w:val="none"/>
                <w:lang w:val="en-US" w:eastAsia="zh-CN"/>
              </w:rPr>
              <w:t>心室射血分数（</w:t>
            </w:r>
            <w:r>
              <w:rPr>
                <w:rFonts w:hint="default" w:ascii="Times New Roman" w:hAnsi="Times New Roman" w:cs="Times New Roman"/>
                <w:highlight w:val="none"/>
                <w:lang w:val="en-US" w:eastAsia="zh-CN"/>
              </w:rPr>
              <w:t>EF</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及短轴缩短</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FS</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）的</w:t>
            </w:r>
            <w:r>
              <w:rPr>
                <w:rFonts w:hint="default" w:ascii="Times New Roman" w:hAnsi="Times New Roman" w:cs="Times New Roman"/>
                <w:highlight w:val="none"/>
                <w:lang w:val="en-US" w:eastAsia="zh-CN"/>
              </w:rPr>
              <w:t>比较。C</w:t>
            </w:r>
            <w:r>
              <w:rPr>
                <w:rFonts w:hint="eastAsia" w:ascii="Times New Roman" w:hAnsi="Times New Roman" w:cs="Times New Roman"/>
                <w:highlight w:val="none"/>
                <w:lang w:val="en-US" w:eastAsia="zh-CN"/>
              </w:rPr>
              <w:t>：各</w:t>
            </w:r>
            <w:r>
              <w:rPr>
                <w:rFonts w:hint="default" w:ascii="Times New Roman" w:hAnsi="Times New Roman" w:cs="Times New Roman"/>
                <w:highlight w:val="none"/>
                <w:lang w:val="en-US" w:eastAsia="zh-CN"/>
              </w:rPr>
              <w:t>组间马松染色</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100</w:t>
            </w:r>
            <w:r>
              <w:rPr>
                <w:rFonts w:hint="eastAsia" w:ascii="微软雅黑" w:hAnsi="微软雅黑" w:eastAsia="微软雅黑" w:cs="微软雅黑"/>
                <w:sz w:val="18"/>
                <w:szCs w:val="20"/>
                <w:highlight w:val="none"/>
                <w:lang w:val="en-US" w:eastAsia="zh-CN"/>
              </w:rPr>
              <w:t>μm）</w:t>
            </w:r>
            <w:r>
              <w:rPr>
                <w:rFonts w:hint="default" w:ascii="Times New Roman" w:hAnsi="Times New Roman" w:cs="Times New Roman"/>
                <w:highlight w:val="none"/>
                <w:lang w:val="en-US" w:eastAsia="zh-CN"/>
              </w:rPr>
              <w:t>比较</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D: WGA染色</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50</w:t>
            </w:r>
            <w:r>
              <w:rPr>
                <w:rFonts w:hint="eastAsia" w:ascii="微软雅黑" w:hAnsi="微软雅黑" w:eastAsia="微软雅黑" w:cs="微软雅黑"/>
                <w:sz w:val="18"/>
                <w:szCs w:val="20"/>
                <w:highlight w:val="none"/>
                <w:lang w:val="en-US" w:eastAsia="zh-CN"/>
              </w:rPr>
              <w:t>μm）</w:t>
            </w:r>
            <w:r>
              <w:rPr>
                <w:rFonts w:hint="default" w:ascii="Times New Roman" w:hAnsi="Times New Roman" w:cs="Times New Roman"/>
                <w:highlight w:val="none"/>
                <w:lang w:val="en-US" w:eastAsia="zh-CN"/>
              </w:rPr>
              <w:t>和各组心肌细胞横截面积</w:t>
            </w:r>
            <w:r>
              <w:rPr>
                <w:rFonts w:hint="eastAsia" w:ascii="Times New Roman" w:hAnsi="Times New Roman" w:cs="Times New Roman"/>
                <w:highlight w:val="none"/>
                <w:lang w:val="en-US" w:eastAsia="zh-CN"/>
              </w:rPr>
              <w:t>（</w:t>
            </w:r>
            <w:r>
              <w:rPr>
                <w:rFonts w:hint="eastAsia" w:ascii="微软雅黑" w:hAnsi="微软雅黑" w:eastAsia="微软雅黑" w:cs="微软雅黑"/>
                <w:sz w:val="18"/>
                <w:szCs w:val="20"/>
                <w:highlight w:val="none"/>
                <w:lang w:val="en-US" w:eastAsia="zh-CN"/>
              </w:rPr>
              <w:t>μm</w:t>
            </w:r>
            <w:r>
              <w:rPr>
                <w:rFonts w:hint="default" w:ascii="Times New Roman" w:hAnsi="Times New Roman" w:cs="Times New Roman"/>
                <w:highlight w:val="none"/>
                <w:vertAlign w:val="superscript"/>
                <w:lang w:val="en-US" w:eastAsia="zh-CN"/>
              </w:rPr>
              <w:t>2</w:t>
            </w:r>
            <w:r>
              <w:rPr>
                <w:rFonts w:hint="eastAsia" w:ascii="Times New Roman" w:hAnsi="Times New Roman" w:cs="Times New Roman"/>
                <w:highlight w:val="none"/>
                <w:vertAlign w:val="baseline"/>
                <w:lang w:val="en-US" w:eastAsia="zh-CN"/>
              </w:rPr>
              <w:t>）</w:t>
            </w:r>
            <w:r>
              <w:rPr>
                <w:rFonts w:hint="default" w:ascii="Times New Roman" w:hAnsi="Times New Roman" w:cs="Times New Roman"/>
                <w:highlight w:val="none"/>
                <w:lang w:val="en-US" w:eastAsia="zh-CN"/>
              </w:rPr>
              <w:t>比较。</w:t>
            </w:r>
          </w:p>
          <w:p>
            <w:pPr>
              <w:bidi w:val="0"/>
              <w:spacing w:line="240" w:lineRule="auto"/>
              <w:jc w:val="left"/>
              <w:rPr>
                <w:rFonts w:hint="default" w:ascii="Times New Roman" w:hAnsi="Times New Roman" w:cs="Times New Roman"/>
                <w:highlight w:val="none"/>
                <w:lang w:val="en-US" w:eastAsia="zh-CN"/>
              </w:rPr>
            </w:pPr>
          </w:p>
          <w:p>
            <w:pPr>
              <w:bidi w:val="0"/>
              <w:spacing w:line="240" w:lineRule="auto"/>
              <w:jc w:val="left"/>
              <w:rPr>
                <w:rFonts w:hint="default" w:ascii="Times New Roman" w:hAnsi="Times New Roman" w:cs="Times New Roman"/>
                <w:highlight w:val="none"/>
                <w:lang w:val="en-US" w:eastAsia="zh-CN"/>
              </w:rPr>
            </w:pPr>
          </w:p>
          <w:p>
            <w:pPr>
              <w:bidi w:val="0"/>
              <w:spacing w:line="240" w:lineRule="auto"/>
              <w:jc w:val="left"/>
              <w:rPr>
                <w:rFonts w:hint="default"/>
                <w:highlight w:val="none"/>
                <w:lang w:val="en-US" w:eastAsia="zh-CN"/>
              </w:rPr>
            </w:pPr>
            <w:r>
              <w:rPr>
                <w:rFonts w:hint="eastAsia" w:eastAsiaTheme="minorEastAsia"/>
                <w:highlight w:val="none"/>
                <w:lang w:eastAsia="zh-CN"/>
              </w:rPr>
              <w:drawing>
                <wp:inline distT="0" distB="0" distL="114300" distR="114300">
                  <wp:extent cx="5619115" cy="3931920"/>
                  <wp:effectExtent l="0" t="0" r="635" b="1905"/>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9"/>
                          <a:stretch>
                            <a:fillRect/>
                          </a:stretch>
                        </pic:blipFill>
                        <pic:spPr>
                          <a:xfrm>
                            <a:off x="0" y="0"/>
                            <a:ext cx="5619115" cy="3931920"/>
                          </a:xfrm>
                          <a:prstGeom prst="rect">
                            <a:avLst/>
                          </a:prstGeom>
                        </pic:spPr>
                      </pic:pic>
                    </a:graphicData>
                  </a:graphic>
                </wp:inline>
              </w:drawing>
            </w:r>
          </w:p>
          <w:p>
            <w:pPr>
              <w:bidi w:val="0"/>
              <w:spacing w:line="240" w:lineRule="auto"/>
              <w:jc w:val="left"/>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图5</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 xml:space="preserve">Tempol或Mito-TEMPO处理后D5R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KO小鼠的</w:t>
            </w:r>
            <w:r>
              <w:rPr>
                <w:rFonts w:hint="eastAsia" w:ascii="Times New Roman" w:hAnsi="Times New Roman" w:cs="Times New Roman"/>
                <w:highlight w:val="none"/>
                <w:lang w:val="en-US" w:eastAsia="zh-CN"/>
              </w:rPr>
              <w:t>线粒体氧化呼吸链水平</w:t>
            </w:r>
            <w:r>
              <w:rPr>
                <w:rFonts w:hint="default" w:ascii="Times New Roman" w:hAnsi="Times New Roman" w:cs="Times New Roman"/>
                <w:highlight w:val="none"/>
                <w:lang w:val="en-US" w:eastAsia="zh-CN"/>
              </w:rPr>
              <w:t>分析</w:t>
            </w:r>
            <w:r>
              <w:rPr>
                <w:rFonts w:hint="eastAsia" w:ascii="Times New Roman" w:hAnsi="Times New Roman" w:cs="Times New Roman"/>
                <w:highlight w:val="none"/>
                <w:lang w:val="en-US" w:eastAsia="zh-CN"/>
              </w:rPr>
              <w:t>（n=10）</w:t>
            </w:r>
            <w:r>
              <w:rPr>
                <w:rFonts w:hint="default" w:ascii="Times New Roman" w:hAnsi="Times New Roman" w:cs="Times New Roman"/>
                <w:highlight w:val="none"/>
                <w:lang w:val="en-US" w:eastAsia="zh-CN"/>
              </w:rPr>
              <w:t>。A、B</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 xml:space="preserve">对照组、D5R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 xml:space="preserve">KO 6W组、D5R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 xml:space="preserve">KO+Tempol组、D5R </w:t>
            </w:r>
            <w:r>
              <w:rPr>
                <w:rFonts w:hint="eastAsia" w:ascii="Times New Roman" w:hAnsi="Times New Roman" w:cs="Times New Roman"/>
                <w:highlight w:val="none"/>
                <w:lang w:val="en-US" w:eastAsia="zh-CN"/>
              </w:rPr>
              <w:t>C</w:t>
            </w:r>
            <w:r>
              <w:rPr>
                <w:rFonts w:hint="default" w:ascii="Times New Roman" w:hAnsi="Times New Roman" w:cs="Times New Roman"/>
                <w:highlight w:val="none"/>
                <w:lang w:val="en-US" w:eastAsia="zh-CN"/>
              </w:rPr>
              <w:t>KO+Mito-TEMPO组间MMP2、MMP9表达水平，C、D</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组间线粒体电子链复合物相关蛋白CI-NDUFB8、CII-SDHB、CIII-UQCRC2、CIV-MTCO2、CV-ATP5A1 mRNA表达水平，E</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组间线粒体电子链复合物相关分子mRNA表达水平。</w:t>
            </w:r>
          </w:p>
          <w:p>
            <w:pPr>
              <w:bidi w:val="0"/>
              <w:spacing w:line="240" w:lineRule="auto"/>
              <w:jc w:val="left"/>
              <w:rPr>
                <w:rFonts w:hint="default" w:ascii="Times New Roman" w:hAnsi="Times New Roman" w:eastAsia="宋体" w:cs="Times New Roman"/>
                <w:kern w:val="0"/>
                <w:sz w:val="24"/>
                <w:szCs w:val="24"/>
                <w:highlight w:val="none"/>
                <w:lang w:val="en-US" w:eastAsia="zh-CN" w:bidi="ar-SA"/>
              </w:rPr>
            </w:pPr>
            <w:r>
              <w:rPr>
                <w:rFonts w:hint="eastAsia" w:ascii="Times New Roman" w:hAnsi="Times New Roman" w:eastAsia="宋体" w:cs="Times New Roman"/>
                <w:kern w:val="0"/>
                <w:sz w:val="24"/>
                <w:szCs w:val="24"/>
                <w:highlight w:val="none"/>
                <w:lang w:val="en-US" w:eastAsia="zh-CN" w:bidi="ar-SA"/>
              </w:rPr>
              <w:t>本研究共重复三批实验， 实验重复性好， 模型结果一致。</w:t>
            </w:r>
          </w:p>
          <w:p>
            <w:pPr>
              <w:autoSpaceDE w:val="0"/>
              <w:autoSpaceDN w:val="0"/>
              <w:adjustRightInd w:val="0"/>
              <w:spacing w:before="1"/>
              <w:jc w:val="left"/>
              <w:rPr>
                <w:rFonts w:ascii="Times New Roman" w:hAnsi="Times New Roman" w:eastAsia="宋体" w:cs="宋体"/>
                <w:color w:val="000000"/>
                <w:kern w:val="0"/>
                <w:sz w:val="24"/>
                <w:szCs w:val="24"/>
                <w:highlight w:val="none"/>
              </w:rPr>
            </w:pPr>
          </w:p>
          <w:p>
            <w:pPr>
              <w:keepNext w:val="0"/>
              <w:keepLines w:val="0"/>
              <w:widowControl/>
              <w:suppressLineNumbers w:val="0"/>
              <w:ind w:firstLine="482" w:firstLineChars="200"/>
              <w:jc w:val="left"/>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b/>
                <w:bCs/>
                <w:kern w:val="0"/>
                <w:sz w:val="24"/>
                <w:szCs w:val="24"/>
                <w:highlight w:val="none"/>
              </w:rPr>
              <w:t>动物模型的生物安全性</w:t>
            </w:r>
          </w:p>
          <w:p>
            <w:pPr>
              <w:keepNext w:val="0"/>
              <w:keepLines w:val="0"/>
              <w:widowControl/>
              <w:suppressLineNumbers w:val="0"/>
              <w:ind w:firstLine="480" w:firstLineChars="200"/>
              <w:jc w:val="left"/>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本实验使用了</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小鼠，饲养于医科院动物所清洁级级屏蔽环境中，研究所动物房具备实验动物使用许可证。所有实验程序均按照我们机构动物护理和使用委员会（YZW2017005）的指导方针进行。所有操作人员均通过北京市实验动物上岗证考试，具备熟练的操作技术。</w:t>
            </w:r>
          </w:p>
          <w:p>
            <w:pPr>
              <w:keepNext w:val="0"/>
              <w:keepLines w:val="0"/>
              <w:widowControl/>
              <w:suppressLineNumbers w:val="0"/>
              <w:ind w:firstLine="480" w:firstLineChars="200"/>
              <w:jc w:val="left"/>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 xml:space="preserve"> 在整个实验过程中保证动物处于监管状态，无逃脱可能。实验结束后由实验人员按笼取出，在实验室中进行取材。动物尸体及废弃物，将送相关部门依据相应生物安全条例进行处理。</w:t>
            </w:r>
          </w:p>
          <w:p>
            <w:pPr>
              <w:autoSpaceDE w:val="0"/>
              <w:autoSpaceDN w:val="0"/>
              <w:adjustRightInd w:val="0"/>
              <w:spacing w:before="1"/>
              <w:ind w:firstLine="480" w:firstLineChars="200"/>
              <w:jc w:val="left"/>
              <w:rPr>
                <w:rFonts w:hint="eastAsia" w:ascii="Times New Roman" w:hAnsi="Times New Roman" w:eastAsia="宋体" w:cs="Times New Roman"/>
                <w:sz w:val="24"/>
                <w:szCs w:val="24"/>
                <w:highlight w:val="none"/>
              </w:rPr>
            </w:pPr>
          </w:p>
          <w:p>
            <w:pPr>
              <w:autoSpaceDE w:val="0"/>
              <w:autoSpaceDN w:val="0"/>
              <w:adjustRightInd w:val="0"/>
              <w:spacing w:before="1"/>
              <w:jc w:val="left"/>
              <w:rPr>
                <w:rFonts w:ascii="Times New Roman" w:hAnsi="Times New Roman" w:eastAsia="宋体" w:cs="Times New Roman"/>
                <w:kern w:val="0"/>
                <w:sz w:val="24"/>
                <w:szCs w:val="24"/>
                <w:highlight w:val="none"/>
              </w:rPr>
            </w:pPr>
            <w:r>
              <w:rPr>
                <w:rFonts w:hint="eastAsia" w:ascii="Times New Roman" w:hAnsi="Times New Roman" w:eastAsia="宋体" w:cs="Times New Roman"/>
                <w:b/>
                <w:bCs/>
                <w:kern w:val="0"/>
                <w:sz w:val="24"/>
                <w:szCs w:val="24"/>
                <w:highlight w:val="none"/>
              </w:rPr>
              <w:t>讨论和结论</w:t>
            </w:r>
          </w:p>
          <w:p>
            <w:pPr>
              <w:numPr>
                <w:ilvl w:val="0"/>
                <w:numId w:val="0"/>
              </w:numPr>
              <w:bidi w:val="0"/>
              <w:spacing w:line="240" w:lineRule="auto"/>
              <w:ind w:leftChars="0" w:firstLine="480" w:firstLineChars="200"/>
              <w:jc w:val="left"/>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本研究</w:t>
            </w:r>
            <w:r>
              <w:rPr>
                <w:rFonts w:hint="default" w:ascii="Times New Roman" w:hAnsi="Times New Roman" w:eastAsia="宋体" w:cs="Times New Roman"/>
                <w:b w:val="0"/>
                <w:bCs w:val="0"/>
                <w:sz w:val="24"/>
                <w:szCs w:val="24"/>
                <w:highlight w:val="none"/>
                <w:lang w:val="en-US" w:eastAsia="zh-CN"/>
              </w:rPr>
              <w:t>通过有条件地敲除心脏</w:t>
            </w:r>
            <w:r>
              <w:rPr>
                <w:rFonts w:hint="default" w:ascii="Times New Roman" w:hAnsi="Times New Roman" w:eastAsia="宋体" w:cs="Times New Roman"/>
                <w:b w:val="0"/>
                <w:bCs w:val="0"/>
                <w:i/>
                <w:iCs/>
                <w:sz w:val="24"/>
                <w:szCs w:val="24"/>
                <w:highlight w:val="none"/>
                <w:lang w:val="en-US" w:eastAsia="zh-CN"/>
              </w:rPr>
              <w:t>Drd5</w:t>
            </w:r>
            <w:r>
              <w:rPr>
                <w:rFonts w:hint="default" w:ascii="Times New Roman" w:hAnsi="Times New Roman" w:eastAsia="宋体" w:cs="Times New Roman"/>
                <w:b w:val="0"/>
                <w:bCs w:val="0"/>
                <w:sz w:val="24"/>
                <w:szCs w:val="24"/>
                <w:highlight w:val="none"/>
                <w:lang w:val="en-US" w:eastAsia="zh-CN"/>
              </w:rPr>
              <w:t>基因</w:t>
            </w:r>
            <w:r>
              <w:rPr>
                <w:rFonts w:hint="eastAsia"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default" w:ascii="Times New Roman" w:hAnsi="Times New Roman" w:eastAsia="宋体" w:cs="Times New Roman"/>
                <w:b w:val="0"/>
                <w:bCs w:val="0"/>
                <w:sz w:val="24"/>
                <w:szCs w:val="24"/>
                <w:highlight w:val="none"/>
                <w:lang w:val="en-US" w:eastAsia="zh-CN"/>
              </w:rPr>
              <w:t>构建了一种新的心力衰竭模型</w:t>
            </w:r>
            <w:r>
              <w:rPr>
                <w:rFonts w:hint="eastAsia" w:ascii="Times New Roman" w:hAnsi="Times New Roman" w:eastAsia="宋体" w:cs="Times New Roman"/>
                <w:b w:val="0"/>
                <w:bCs w:val="0"/>
                <w:sz w:val="24"/>
                <w:szCs w:val="24"/>
                <w:highlight w:val="none"/>
                <w:lang w:val="en-US" w:eastAsia="zh-CN"/>
              </w:rPr>
              <w:t>，并应用抑制氧化应激的药物评估抑制氧化应激水平对恢复心功能的影响</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 xml:space="preserve">我们通过应用小动物超声仪分析系统、无创尾袖血压分析仪检测小鼠心功能和血压值，生化分析仪检测血清心功能、肝功能及肾功能指标，病理组化及WGA染色分析心肌组织纤维化及心肌细胞大小，同时结合Westernblot和qRT-PCR技术分析心肌纤维化标志物及线粒体氧化应激和呼吸链复合物的蛋白及mRNA水平。该模型阐明了：1.小鼠心脏 </w:t>
            </w:r>
            <w:r>
              <w:rPr>
                <w:rFonts w:hint="default" w:ascii="Times New Roman" w:hAnsi="Times New Roman" w:eastAsia="宋体" w:cs="Times New Roman"/>
                <w:b w:val="0"/>
                <w:bCs w:val="0"/>
                <w:i/>
                <w:iCs/>
                <w:sz w:val="24"/>
                <w:szCs w:val="24"/>
                <w:highlight w:val="none"/>
                <w:lang w:val="en-US" w:eastAsia="zh-CN"/>
              </w:rPr>
              <w:t>Drd5</w:t>
            </w:r>
            <w:r>
              <w:rPr>
                <w:rFonts w:hint="default" w:ascii="Times New Roman" w:hAnsi="Times New Roman" w:eastAsia="宋体" w:cs="Times New Roman"/>
                <w:b w:val="0"/>
                <w:bCs w:val="0"/>
                <w:sz w:val="24"/>
                <w:szCs w:val="24"/>
                <w:highlight w:val="none"/>
                <w:lang w:val="en-US" w:eastAsia="zh-CN"/>
              </w:rPr>
              <w:t>基因</w:t>
            </w:r>
            <w:r>
              <w:rPr>
                <w:rFonts w:hint="eastAsia" w:ascii="Times New Roman" w:hAnsi="Times New Roman" w:eastAsia="宋体" w:cs="Times New Roman"/>
                <w:b w:val="0"/>
                <w:bCs w:val="0"/>
                <w:sz w:val="24"/>
                <w:szCs w:val="24"/>
                <w:highlight w:val="none"/>
                <w:lang w:val="en-US" w:eastAsia="zh-CN"/>
              </w:rPr>
              <w:t xml:space="preserve">敲除后能够引起心脏出现从心肌肥厚向心衰进展的表型，心肌组织纤维化、氧化应激水平加剧；2. </w:t>
            </w:r>
            <w:r>
              <w:rPr>
                <w:rFonts w:hint="default" w:ascii="Times New Roman" w:hAnsi="Times New Roman" w:eastAsia="宋体" w:cs="Times New Roman"/>
                <w:b w:val="0"/>
                <w:bCs w:val="0"/>
                <w:sz w:val="24"/>
                <w:szCs w:val="24"/>
                <w:highlight w:val="none"/>
                <w:lang w:val="en-US" w:eastAsia="zh-CN"/>
              </w:rPr>
              <w:t>心脏D</w:t>
            </w:r>
            <w:r>
              <w:rPr>
                <w:rFonts w:hint="eastAsia" w:ascii="Times New Roman" w:hAnsi="Times New Roman" w:eastAsia="宋体" w:cs="Times New Roman"/>
                <w:b w:val="0"/>
                <w:bCs w:val="0"/>
                <w:sz w:val="24"/>
                <w:szCs w:val="24"/>
                <w:highlight w:val="none"/>
                <w:lang w:val="en-US" w:eastAsia="zh-CN"/>
              </w:rPr>
              <w:t>5R</w:t>
            </w:r>
            <w:r>
              <w:rPr>
                <w:rFonts w:hint="default" w:ascii="Times New Roman" w:hAnsi="Times New Roman" w:eastAsia="宋体" w:cs="Times New Roman"/>
                <w:b w:val="0"/>
                <w:bCs w:val="0"/>
                <w:sz w:val="24"/>
                <w:szCs w:val="24"/>
                <w:highlight w:val="none"/>
                <w:lang w:val="en-US" w:eastAsia="zh-CN"/>
              </w:rPr>
              <w:t>通过NADPH氧化酶激活ROS过度生成和线粒体功能障碍在</w:t>
            </w:r>
            <w:r>
              <w:rPr>
                <w:rFonts w:hint="eastAsia" w:ascii="Times New Roman" w:hAnsi="Times New Roman" w:eastAsia="宋体" w:cs="Times New Roman"/>
                <w:b w:val="0"/>
                <w:bCs w:val="0"/>
                <w:sz w:val="24"/>
                <w:szCs w:val="24"/>
                <w:highlight w:val="none"/>
                <w:lang w:val="en-US" w:eastAsia="zh-CN"/>
              </w:rPr>
              <w:t>肥厚型心肌病</w:t>
            </w:r>
            <w:r>
              <w:rPr>
                <w:rFonts w:hint="default" w:ascii="Times New Roman" w:hAnsi="Times New Roman" w:eastAsia="宋体" w:cs="Times New Roman"/>
                <w:b w:val="0"/>
                <w:bCs w:val="0"/>
                <w:sz w:val="24"/>
                <w:szCs w:val="24"/>
                <w:highlight w:val="none"/>
                <w:lang w:val="en-US" w:eastAsia="zh-CN"/>
              </w:rPr>
              <w:t>向心力衰竭发展中的意义。</w:t>
            </w:r>
            <w:r>
              <w:rPr>
                <w:rFonts w:hint="eastAsia" w:ascii="Times New Roman" w:hAnsi="Times New Roman" w:eastAsia="宋体" w:cs="Times New Roman"/>
                <w:b w:val="0"/>
                <w:bCs w:val="0"/>
                <w:sz w:val="24"/>
                <w:szCs w:val="24"/>
                <w:highlight w:val="none"/>
                <w:lang w:val="en-US" w:eastAsia="zh-CN"/>
              </w:rPr>
              <w:t>该模型</w:t>
            </w:r>
            <w:r>
              <w:rPr>
                <w:rFonts w:hint="default" w:ascii="Times New Roman" w:hAnsi="Times New Roman" w:eastAsia="宋体" w:cs="Times New Roman"/>
                <w:b w:val="0"/>
                <w:bCs w:val="0"/>
                <w:sz w:val="24"/>
                <w:szCs w:val="24"/>
                <w:highlight w:val="none"/>
                <w:lang w:val="en-US" w:eastAsia="zh-CN"/>
              </w:rPr>
              <w:t>最大程度地模拟了人HF的临床表型，填补了氧化应激诱导</w:t>
            </w:r>
            <w:r>
              <w:rPr>
                <w:rFonts w:hint="eastAsia" w:ascii="Times New Roman" w:hAnsi="Times New Roman" w:eastAsia="宋体" w:cs="Times New Roman"/>
                <w:b w:val="0"/>
                <w:bCs w:val="0"/>
                <w:sz w:val="24"/>
                <w:szCs w:val="24"/>
                <w:highlight w:val="none"/>
                <w:lang w:val="en-US" w:eastAsia="zh-CN"/>
              </w:rPr>
              <w:t>心衰</w:t>
            </w:r>
            <w:r>
              <w:rPr>
                <w:rFonts w:hint="default" w:ascii="Times New Roman" w:hAnsi="Times New Roman" w:eastAsia="宋体" w:cs="Times New Roman"/>
                <w:b w:val="0"/>
                <w:bCs w:val="0"/>
                <w:sz w:val="24"/>
                <w:szCs w:val="24"/>
                <w:highlight w:val="none"/>
                <w:lang w:val="en-US" w:eastAsia="zh-CN"/>
              </w:rPr>
              <w:t>小鼠模型的空白。</w:t>
            </w:r>
          </w:p>
          <w:p>
            <w:pPr>
              <w:numPr>
                <w:ilvl w:val="0"/>
                <w:numId w:val="0"/>
              </w:numPr>
              <w:bidi w:val="0"/>
              <w:spacing w:line="240" w:lineRule="auto"/>
              <w:ind w:leftChars="0" w:firstLine="480" w:firstLineChars="200"/>
              <w:jc w:val="left"/>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临床研究表明，心力衰竭患者表现出线粒体功能障碍和氧化应激，导致细胞内ROS水平升高，这与心力衰竭的发生和进展密切相关。NADPH氧化酶和线粒体电子传递链是心脏系统中ROS的主要来源。因此，靶向异常线粒体氧化应激成为建立理想的心衰小鼠动物模型的一个有希望的策略。本研究提供了心肌特异性D5R敲低导致心脏抵抗氧化应激能力受损，导致ROS异常积累和线粒体功能损伤，最终导致心力衰竭的证据。结合</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default" w:ascii="Times New Roman" w:hAnsi="Times New Roman" w:eastAsia="宋体" w:cs="Times New Roman"/>
                <w:b w:val="0"/>
                <w:bCs w:val="0"/>
                <w:sz w:val="24"/>
                <w:szCs w:val="24"/>
                <w:highlight w:val="none"/>
                <w:lang w:val="en-US" w:eastAsia="zh-CN"/>
              </w:rPr>
              <w:t>小鼠的表型和抗氧化作用，我们的</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default" w:ascii="Times New Roman" w:hAnsi="Times New Roman" w:eastAsia="宋体" w:cs="Times New Roman"/>
                <w:b w:val="0"/>
                <w:bCs w:val="0"/>
                <w:sz w:val="24"/>
                <w:szCs w:val="24"/>
                <w:highlight w:val="none"/>
                <w:lang w:val="en-US" w:eastAsia="zh-CN"/>
              </w:rPr>
              <w:t>小鼠模型与心力衰竭的临床表现高度</w:t>
            </w:r>
            <w:r>
              <w:rPr>
                <w:rFonts w:hint="eastAsia" w:ascii="Times New Roman" w:hAnsi="Times New Roman" w:eastAsia="宋体" w:cs="Times New Roman"/>
                <w:b w:val="0"/>
                <w:bCs w:val="0"/>
                <w:sz w:val="24"/>
                <w:szCs w:val="24"/>
                <w:highlight w:val="none"/>
                <w:lang w:val="en-US" w:eastAsia="zh-CN"/>
              </w:rPr>
              <w:t>相似</w:t>
            </w:r>
            <w:r>
              <w:rPr>
                <w:rFonts w:hint="default" w:ascii="Times New Roman" w:hAnsi="Times New Roman" w:eastAsia="宋体" w:cs="Times New Roman"/>
                <w:b w:val="0"/>
                <w:bCs w:val="0"/>
                <w:sz w:val="24"/>
                <w:szCs w:val="24"/>
                <w:highlight w:val="none"/>
                <w:lang w:val="en-US" w:eastAsia="zh-CN"/>
              </w:rPr>
              <w:t>。该模型为深入研究ROS在心力衰竭中的作用机制和开发心</w:t>
            </w:r>
            <w:bookmarkStart w:id="6" w:name="_GoBack"/>
            <w:bookmarkEnd w:id="6"/>
            <w:r>
              <w:rPr>
                <w:rFonts w:hint="default" w:ascii="Times New Roman" w:hAnsi="Times New Roman" w:eastAsia="宋体" w:cs="Times New Roman"/>
                <w:b w:val="0"/>
                <w:bCs w:val="0"/>
                <w:sz w:val="24"/>
                <w:szCs w:val="24"/>
                <w:highlight w:val="none"/>
                <w:lang w:val="en-US" w:eastAsia="zh-CN"/>
              </w:rPr>
              <w:t>力衰竭靶向药物提供了表征良好的工具。</w:t>
            </w:r>
          </w:p>
          <w:p>
            <w:pPr>
              <w:numPr>
                <w:ilvl w:val="0"/>
                <w:numId w:val="0"/>
              </w:numPr>
              <w:bidi w:val="0"/>
              <w:spacing w:line="240" w:lineRule="auto"/>
              <w:ind w:leftChars="0" w:firstLine="480" w:firstLineChars="200"/>
              <w:jc w:val="left"/>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综上所述，</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default" w:ascii="Times New Roman" w:hAnsi="Times New Roman" w:eastAsia="宋体" w:cs="Times New Roman"/>
                <w:b w:val="0"/>
                <w:bCs w:val="0"/>
                <w:sz w:val="24"/>
                <w:szCs w:val="24"/>
                <w:highlight w:val="none"/>
                <w:lang w:val="en-US" w:eastAsia="zh-CN"/>
              </w:rPr>
              <w:t>小鼠可以稳定地发展为</w:t>
            </w:r>
            <w:r>
              <w:rPr>
                <w:rFonts w:hint="eastAsia" w:ascii="Times New Roman" w:hAnsi="Times New Roman" w:eastAsia="宋体" w:cs="Times New Roman"/>
                <w:b w:val="0"/>
                <w:bCs w:val="0"/>
                <w:sz w:val="24"/>
                <w:szCs w:val="24"/>
                <w:highlight w:val="none"/>
                <w:lang w:val="en-US" w:eastAsia="zh-CN"/>
              </w:rPr>
              <w:t>左心室肥厚进展</w:t>
            </w:r>
            <w:r>
              <w:rPr>
                <w:rFonts w:hint="default" w:ascii="Times New Roman" w:hAnsi="Times New Roman" w:eastAsia="宋体" w:cs="Times New Roman"/>
                <w:b w:val="0"/>
                <w:bCs w:val="0"/>
                <w:sz w:val="24"/>
                <w:szCs w:val="24"/>
                <w:highlight w:val="none"/>
                <w:lang w:val="en-US" w:eastAsia="zh-CN"/>
              </w:rPr>
              <w:t>心力衰竭。经Apocynin、Tempol和Mito-TEMPO抗氧化处理可显著</w:t>
            </w:r>
            <w:r>
              <w:rPr>
                <w:rFonts w:hint="eastAsia" w:ascii="Times New Roman" w:hAnsi="Times New Roman" w:eastAsia="宋体" w:cs="Times New Roman"/>
                <w:b w:val="0"/>
                <w:bCs w:val="0"/>
                <w:sz w:val="24"/>
                <w:szCs w:val="24"/>
                <w:highlight w:val="none"/>
                <w:lang w:val="en-US" w:eastAsia="zh-CN"/>
              </w:rPr>
              <w:t>改善</w:t>
            </w:r>
            <w:r>
              <w:rPr>
                <w:rFonts w:hint="default" w:ascii="Times New Roman" w:hAnsi="Times New Roman" w:eastAsia="宋体" w:cs="Times New Roman"/>
                <w:b w:val="0"/>
                <w:bCs w:val="0"/>
                <w:sz w:val="24"/>
                <w:szCs w:val="24"/>
                <w:highlight w:val="none"/>
                <w:lang w:val="en-US" w:eastAsia="zh-CN"/>
              </w:rPr>
              <w:t>心</w:t>
            </w:r>
            <w:r>
              <w:rPr>
                <w:rFonts w:hint="eastAsia" w:ascii="Times New Roman" w:hAnsi="Times New Roman" w:eastAsia="宋体" w:cs="Times New Roman"/>
                <w:b w:val="0"/>
                <w:bCs w:val="0"/>
                <w:sz w:val="24"/>
                <w:szCs w:val="24"/>
                <w:highlight w:val="none"/>
                <w:lang w:val="en-US" w:eastAsia="zh-CN"/>
              </w:rPr>
              <w:t>功能</w:t>
            </w:r>
            <w:r>
              <w:rPr>
                <w:rFonts w:hint="default" w:ascii="Times New Roman" w:hAnsi="Times New Roman" w:eastAsia="宋体" w:cs="Times New Roman"/>
                <w:b w:val="0"/>
                <w:bCs w:val="0"/>
                <w:sz w:val="24"/>
                <w:szCs w:val="24"/>
                <w:highlight w:val="none"/>
                <w:lang w:val="en-US" w:eastAsia="zh-CN"/>
              </w:rPr>
              <w:t>和纤维化，证实</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w:t>
            </w:r>
            <w:r>
              <w:rPr>
                <w:rFonts w:hint="default" w:ascii="Times New Roman" w:hAnsi="Times New Roman" w:eastAsia="宋体" w:cs="Times New Roman"/>
                <w:b w:val="0"/>
                <w:bCs w:val="0"/>
                <w:sz w:val="24"/>
                <w:szCs w:val="24"/>
                <w:highlight w:val="none"/>
                <w:lang w:val="en-US" w:eastAsia="zh-CN"/>
              </w:rPr>
              <w:t>小鼠可作为一种新型心力衰竭动物模型，在异常氧化应激相关的</w:t>
            </w:r>
            <w:r>
              <w:rPr>
                <w:rFonts w:hint="eastAsia" w:ascii="Times New Roman" w:hAnsi="Times New Roman" w:eastAsia="宋体" w:cs="Times New Roman"/>
                <w:b w:val="0"/>
                <w:bCs w:val="0"/>
                <w:sz w:val="24"/>
                <w:szCs w:val="24"/>
                <w:highlight w:val="none"/>
                <w:lang w:val="en-US" w:eastAsia="zh-CN"/>
              </w:rPr>
              <w:t>心衰</w:t>
            </w:r>
            <w:r>
              <w:rPr>
                <w:rFonts w:hint="default" w:ascii="Times New Roman" w:hAnsi="Times New Roman" w:eastAsia="宋体" w:cs="Times New Roman"/>
                <w:b w:val="0"/>
                <w:bCs w:val="0"/>
                <w:sz w:val="24"/>
                <w:szCs w:val="24"/>
                <w:highlight w:val="none"/>
                <w:lang w:val="en-US" w:eastAsia="zh-CN"/>
              </w:rPr>
              <w:t>药物研究和临床前评价中具有重要价值。</w:t>
            </w:r>
          </w:p>
          <w:p>
            <w:pPr>
              <w:numPr>
                <w:ilvl w:val="0"/>
                <w:numId w:val="0"/>
              </w:numPr>
              <w:bidi w:val="0"/>
              <w:spacing w:line="240" w:lineRule="auto"/>
              <w:ind w:leftChars="0" w:firstLine="480" w:firstLineChars="200"/>
              <w:jc w:val="left"/>
              <w:rPr>
                <w:rFonts w:hint="default" w:ascii="Times New Roman" w:hAnsi="Times New Roman" w:eastAsia="宋体" w:cs="Times New Roman"/>
                <w:b w:val="0"/>
                <w:bCs w:val="0"/>
                <w:sz w:val="24"/>
                <w:szCs w:val="24"/>
                <w:highlight w:val="none"/>
                <w:lang w:val="en-US" w:eastAsia="zh-CN"/>
              </w:rPr>
            </w:pPr>
          </w:p>
          <w:p>
            <w:pPr>
              <w:widowControl/>
              <w:spacing w:line="300" w:lineRule="auto"/>
              <w:jc w:val="left"/>
              <w:rPr>
                <w:rFonts w:ascii="Times New Roman" w:hAnsi="Times New Roman" w:eastAsia="宋体" w:cs="Times New Roman"/>
                <w:b/>
                <w:bCs/>
                <w:sz w:val="24"/>
                <w:szCs w:val="24"/>
                <w:highlight w:val="none"/>
              </w:rPr>
            </w:pPr>
            <w:r>
              <w:rPr>
                <w:rFonts w:hint="eastAsia" w:ascii="Times New Roman" w:hAnsi="Times New Roman" w:eastAsia="宋体" w:cs="Times New Roman"/>
                <w:b/>
                <w:bCs/>
                <w:sz w:val="24"/>
                <w:szCs w:val="24"/>
                <w:highlight w:val="none"/>
              </w:rPr>
              <w:t>有助于动物模型鉴定和评价的</w:t>
            </w:r>
            <w:r>
              <w:rPr>
                <w:rFonts w:hint="eastAsia" w:ascii="Times New Roman" w:hAnsi="Times New Roman" w:eastAsia="宋体" w:cs="Times New Roman"/>
                <w:b/>
                <w:bCs/>
                <w:sz w:val="24"/>
                <w:szCs w:val="24"/>
                <w:highlight w:val="none"/>
                <w:lang w:eastAsia="zh-CN"/>
              </w:rPr>
              <w:t>其他</w:t>
            </w:r>
            <w:r>
              <w:rPr>
                <w:rFonts w:hint="eastAsia" w:ascii="Times New Roman" w:hAnsi="Times New Roman" w:eastAsia="宋体" w:cs="Times New Roman"/>
                <w:b/>
                <w:bCs/>
                <w:sz w:val="24"/>
                <w:szCs w:val="24"/>
                <w:highlight w:val="none"/>
              </w:rPr>
              <w:t>材料</w:t>
            </w:r>
          </w:p>
          <w:p>
            <w:pPr>
              <w:widowControl/>
              <w:spacing w:line="300" w:lineRule="auto"/>
              <w:ind w:firstLine="480" w:firstLineChars="200"/>
              <w:jc w:val="left"/>
              <w:rPr>
                <w:rFonts w:ascii="Times New Roman" w:hAnsi="Times New Roman" w:eastAsia="宋体" w:cs="Times New Roman"/>
              </w:rPr>
            </w:pP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myh6-creERT2小鼠</w:t>
            </w:r>
            <w:r>
              <w:rPr>
                <w:rFonts w:hint="eastAsia" w:ascii="Times New Roman" w:hAnsi="Times New Roman" w:eastAsia="宋体" w:cs="Times New Roman"/>
                <w:kern w:val="0"/>
                <w:sz w:val="24"/>
                <w:szCs w:val="24"/>
                <w:highlight w:val="none"/>
                <w:lang w:val="en-US" w:eastAsia="zh-CN"/>
              </w:rPr>
              <w:t>心力衰竭</w:t>
            </w:r>
            <w:r>
              <w:rPr>
                <w:rFonts w:hint="eastAsia" w:ascii="Times New Roman" w:hAnsi="Times New Roman" w:eastAsia="宋体" w:cs="Times New Roman"/>
                <w:kern w:val="0"/>
                <w:sz w:val="24"/>
                <w:szCs w:val="24"/>
                <w:highlight w:val="none"/>
              </w:rPr>
              <w:t>模型</w:t>
            </w:r>
            <w:r>
              <w:rPr>
                <w:rFonts w:hint="eastAsia" w:ascii="Times New Roman" w:hAnsi="Times New Roman" w:eastAsia="宋体" w:cs="Times New Roman"/>
                <w:kern w:val="0"/>
                <w:sz w:val="24"/>
                <w:szCs w:val="24"/>
                <w:highlight w:val="none"/>
                <w:lang w:val="en-US" w:eastAsia="zh-CN"/>
              </w:rPr>
              <w:t xml:space="preserve">通过教育部科技查新工作站审查证明是一种全新的心力衰竭小鼠模型。 </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i/>
                <w:iCs/>
                <w:sz w:val="24"/>
                <w:szCs w:val="24"/>
                <w:highlight w:val="none"/>
                <w:vertAlign w:val="superscript"/>
                <w:lang w:val="en-US" w:eastAsia="zh-CN"/>
              </w:rPr>
              <w:t>fl/fl</w:t>
            </w:r>
            <w:r>
              <w:rPr>
                <w:rFonts w:hint="eastAsia" w:ascii="Times New Roman" w:hAnsi="Times New Roman" w:eastAsia="宋体" w:cs="Times New Roman"/>
                <w:sz w:val="24"/>
                <w:szCs w:val="24"/>
                <w:highlight w:val="none"/>
                <w:lang w:val="en-US" w:eastAsia="zh-CN"/>
              </w:rPr>
              <w:t xml:space="preserve"> myh6-creERT2小鼠</w:t>
            </w:r>
            <w:r>
              <w:rPr>
                <w:rFonts w:hint="eastAsia" w:ascii="Times New Roman" w:hAnsi="Times New Roman" w:eastAsia="宋体" w:cs="Times New Roman"/>
                <w:kern w:val="0"/>
                <w:sz w:val="24"/>
                <w:szCs w:val="24"/>
                <w:highlight w:val="none"/>
                <w:lang w:val="en-US" w:eastAsia="zh-CN"/>
              </w:rPr>
              <w:t>心力衰竭</w:t>
            </w:r>
            <w:r>
              <w:rPr>
                <w:rFonts w:hint="eastAsia" w:ascii="Times New Roman" w:hAnsi="Times New Roman" w:eastAsia="宋体" w:cs="Times New Roman"/>
                <w:kern w:val="0"/>
                <w:sz w:val="24"/>
                <w:szCs w:val="24"/>
                <w:highlight w:val="none"/>
              </w:rPr>
              <w:t>模型</w:t>
            </w:r>
            <w:r>
              <w:rPr>
                <w:rFonts w:hint="eastAsia" w:ascii="Times New Roman" w:hAnsi="Times New Roman" w:eastAsia="宋体" w:cs="Times New Roman"/>
                <w:kern w:val="0"/>
                <w:sz w:val="24"/>
                <w:szCs w:val="24"/>
                <w:highlight w:val="none"/>
                <w:lang w:val="en-US" w:eastAsia="zh-CN"/>
              </w:rPr>
              <w:t>相关的数据资料已经在</w:t>
            </w:r>
            <w:r>
              <w:rPr>
                <w:rFonts w:hint="eastAsia" w:ascii="Times New Roman" w:hAnsi="Times New Roman" w:eastAsia="宋体" w:cs="Times New Roman"/>
                <w:i/>
                <w:iCs/>
                <w:kern w:val="0"/>
                <w:sz w:val="24"/>
                <w:szCs w:val="24"/>
                <w:highlight w:val="none"/>
                <w:lang w:val="en-US" w:eastAsia="zh-CN"/>
              </w:rPr>
              <w:t>International Journal of Cardiology</w:t>
            </w:r>
            <w:r>
              <w:rPr>
                <w:rFonts w:hint="eastAsia" w:ascii="Times New Roman" w:hAnsi="Times New Roman" w:eastAsia="宋体" w:cs="Times New Roman"/>
                <w:kern w:val="0"/>
                <w:sz w:val="24"/>
                <w:szCs w:val="24"/>
                <w:highlight w:val="none"/>
                <w:lang w:val="en-US" w:eastAsia="zh-CN"/>
              </w:rPr>
              <w:t>发表了名为</w:t>
            </w:r>
            <w:r>
              <w:rPr>
                <w:rFonts w:hint="eastAsia" w:ascii="Times New Roman" w:hAnsi="Times New Roman" w:eastAsia="宋体" w:cs="Times New Roman"/>
                <w:sz w:val="24"/>
                <w:szCs w:val="24"/>
                <w:highlight w:val="none"/>
                <w:lang w:val="en-US" w:eastAsia="zh-CN"/>
              </w:rPr>
              <w:t xml:space="preserve">《An inducible mouse model of heart failure targeted to cardiac </w:t>
            </w:r>
            <w:r>
              <w:rPr>
                <w:rFonts w:hint="eastAsia" w:ascii="Times New Roman" w:hAnsi="Times New Roman" w:eastAsia="宋体" w:cs="Times New Roman"/>
                <w:i/>
                <w:iCs/>
                <w:sz w:val="24"/>
                <w:szCs w:val="24"/>
                <w:highlight w:val="none"/>
                <w:lang w:val="en-US" w:eastAsia="zh-CN"/>
              </w:rPr>
              <w:t>Drd5</w:t>
            </w:r>
            <w:r>
              <w:rPr>
                <w:rFonts w:hint="eastAsia" w:ascii="Times New Roman" w:hAnsi="Times New Roman" w:eastAsia="宋体" w:cs="Times New Roman"/>
                <w:sz w:val="24"/>
                <w:szCs w:val="24"/>
                <w:highlight w:val="none"/>
                <w:lang w:val="en-US" w:eastAsia="zh-CN"/>
              </w:rPr>
              <w:t xml:space="preserve"> deficiency detonating mitochondrial oxidative stress》的</w:t>
            </w:r>
            <w:r>
              <w:rPr>
                <w:rFonts w:hint="eastAsia" w:ascii="Times New Roman" w:hAnsi="Times New Roman" w:eastAsia="宋体" w:cs="Times New Roman"/>
                <w:kern w:val="0"/>
                <w:sz w:val="24"/>
                <w:szCs w:val="24"/>
                <w:highlight w:val="none"/>
                <w:lang w:val="en-US" w:eastAsia="zh-CN"/>
              </w:rPr>
              <w:t>学术论文，</w:t>
            </w:r>
            <w:r>
              <w:rPr>
                <w:rFonts w:hint="eastAsia" w:ascii="Times New Roman" w:hAnsi="Times New Roman" w:eastAsia="宋体" w:cs="Times New Roman"/>
                <w:sz w:val="24"/>
                <w:szCs w:val="24"/>
              </w:rPr>
              <w:t>详细材料以附件形式一并提交。</w:t>
            </w:r>
          </w:p>
          <w:p>
            <w:pPr>
              <w:numPr>
                <w:ilvl w:val="0"/>
                <w:numId w:val="0"/>
              </w:numPr>
              <w:bidi w:val="0"/>
              <w:spacing w:line="240" w:lineRule="auto"/>
              <w:ind w:leftChars="0" w:firstLine="480" w:firstLineChars="200"/>
              <w:jc w:val="left"/>
              <w:rPr>
                <w:rFonts w:hint="default" w:ascii="Times New Roman" w:hAnsi="Times New Roman" w:eastAsia="宋体" w:cs="Times New Roman"/>
                <w:b w:val="0"/>
                <w:bCs w:val="0"/>
                <w:sz w:val="24"/>
                <w:szCs w:val="24"/>
                <w:highlight w:val="none"/>
                <w:lang w:val="en-US" w:eastAsia="zh-CN"/>
              </w:rPr>
            </w:pPr>
          </w:p>
          <w:p>
            <w:pPr>
              <w:autoSpaceDE w:val="0"/>
              <w:autoSpaceDN w:val="0"/>
              <w:adjustRightInd w:val="0"/>
              <w:spacing w:before="1"/>
              <w:ind w:firstLine="480" w:firstLineChars="200"/>
              <w:jc w:val="left"/>
              <w:rPr>
                <w:rFonts w:ascii="Times New Roman" w:hAnsi="Times New Roman" w:eastAsia="宋体" w:cs="Times New Roman"/>
                <w:kern w:val="0"/>
                <w:sz w:val="24"/>
                <w:szCs w:val="24"/>
                <w:highlight w:val="none"/>
              </w:rPr>
            </w:pPr>
          </w:p>
          <w:p>
            <w:pPr>
              <w:autoSpaceDE w:val="0"/>
              <w:autoSpaceDN w:val="0"/>
              <w:adjustRightInd w:val="0"/>
              <w:spacing w:before="1"/>
              <w:jc w:val="left"/>
              <w:rPr>
                <w:rFonts w:ascii="Times New Roman" w:hAnsi="Times New Roman" w:eastAsia="宋体" w:cs="Times New Roman"/>
                <w:kern w:val="0"/>
                <w:sz w:val="24"/>
                <w:szCs w:val="24"/>
                <w:highlight w:val="none"/>
              </w:rPr>
            </w:pPr>
          </w:p>
        </w:tc>
      </w:tr>
    </w:tbl>
    <w:p>
      <w:pPr>
        <w:autoSpaceDE w:val="0"/>
        <w:autoSpaceDN w:val="0"/>
        <w:adjustRightInd w:val="0"/>
        <w:spacing w:before="104"/>
        <w:ind w:firstLine="1175" w:firstLineChars="650"/>
        <w:jc w:val="right"/>
        <w:rPr>
          <w:rFonts w:ascii="Times New Roman" w:hAnsi="Times New Roman" w:eastAsia="宋体" w:cs="Times New Roman"/>
          <w:b/>
          <w:kern w:val="0"/>
          <w:sz w:val="18"/>
          <w:szCs w:val="18"/>
        </w:rPr>
      </w:pPr>
      <w:r>
        <w:rPr>
          <w:rFonts w:hint="eastAsia" w:ascii="Times New Roman" w:hAnsi="Times New Roman" w:eastAsia="宋体" w:cs="Times New Roman"/>
          <w:b/>
          <w:kern w:val="0"/>
          <w:sz w:val="18"/>
          <w:szCs w:val="18"/>
        </w:rPr>
        <w:t>中国实验动物学会实验动物模型鉴定与评价工作委员会制</w:t>
      </w:r>
    </w:p>
    <w:p>
      <w:pPr>
        <w:rPr>
          <w:rFonts w:ascii="Times New Roman" w:hAnsi="Times New Roman" w:eastAsia="宋体" w:cs="Times New Roman"/>
        </w:rPr>
      </w:pPr>
    </w:p>
    <w:p>
      <w:pPr>
        <w:rPr>
          <w:rFonts w:ascii="Times New Roman" w:hAnsi="Times New Roman" w:eastAsia="宋体" w:cs="Times New Roman"/>
        </w:rPr>
      </w:pPr>
    </w:p>
    <w:p/>
    <w:p>
      <w:pPr>
        <w:widowControl/>
        <w:jc w:val="center"/>
        <w:rPr>
          <w:rFonts w:ascii="Times New Roman" w:hAnsi="Times New Roman" w:eastAsia="宋体" w:cs="宋体"/>
          <w:b/>
          <w:bCs/>
          <w:color w:val="000000"/>
          <w:kern w:val="0"/>
          <w:sz w:val="30"/>
          <w:szCs w:val="30"/>
        </w:rPr>
      </w:pPr>
      <w:r>
        <w:rPr>
          <w:rFonts w:hint="eastAsia" w:ascii="Times New Roman" w:hAnsi="Times New Roman" w:eastAsia="宋体" w:cs="宋体"/>
          <w:b/>
          <w:bCs/>
          <w:color w:val="000000"/>
          <w:kern w:val="0"/>
          <w:sz w:val="30"/>
          <w:szCs w:val="30"/>
        </w:rPr>
        <w:t>中国实验动物学会动物模型研发报告编制要点</w:t>
      </w:r>
    </w:p>
    <w:p>
      <w:pPr>
        <w:widowControl/>
        <w:jc w:val="left"/>
        <w:rPr>
          <w:rFonts w:ascii="Times New Roman" w:hAnsi="Times New Roman" w:eastAsia="宋体" w:cs="宋体"/>
          <w:b/>
          <w:bCs/>
          <w:color w:val="000000"/>
          <w:kern w:val="0"/>
          <w:sz w:val="24"/>
          <w:szCs w:val="24"/>
        </w:rPr>
      </w:pPr>
    </w:p>
    <w:p>
      <w:pPr>
        <w:widowControl/>
        <w:spacing w:line="300" w:lineRule="auto"/>
        <w:jc w:val="left"/>
        <w:rPr>
          <w:rFonts w:ascii="Times New Roman" w:hAnsi="Times New Roman" w:eastAsia="宋体" w:cs="Times New Roman"/>
          <w:sz w:val="24"/>
          <w:szCs w:val="24"/>
        </w:rPr>
      </w:pPr>
      <w:r>
        <w:rPr>
          <w:rFonts w:hint="eastAsia" w:ascii="Times New Roman" w:hAnsi="Times New Roman" w:eastAsia="宋体" w:cs="Times New Roman"/>
          <w:b/>
          <w:bCs/>
          <w:sz w:val="24"/>
          <w:szCs w:val="24"/>
        </w:rPr>
        <w:t>一、动物模型的命名</w:t>
      </w:r>
    </w:p>
    <w:p>
      <w:pPr>
        <w:widowControl/>
        <w:spacing w:line="30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参考国际实验动物命名通用原则，结合动物模型类型的</w:t>
      </w:r>
      <w:r>
        <w:rPr>
          <w:rFonts w:ascii="Times New Roman" w:hAnsi="Times New Roman" w:eastAsia="宋体" w:cs="Times New Roman"/>
          <w:sz w:val="24"/>
          <w:szCs w:val="24"/>
        </w:rPr>
        <w:t>I</w:t>
      </w:r>
      <w:r>
        <w:rPr>
          <w:rFonts w:hint="eastAsia" w:ascii="Times New Roman" w:hAnsi="Times New Roman" w:eastAsia="宋体" w:cs="Times New Roman"/>
          <w:sz w:val="24"/>
          <w:szCs w:val="24"/>
        </w:rPr>
        <w:t>、</w:t>
      </w:r>
      <w:r>
        <w:rPr>
          <w:rFonts w:ascii="Times New Roman" w:hAnsi="Times New Roman" w:eastAsia="宋体" w:cs="Times New Roman"/>
          <w:sz w:val="24"/>
          <w:szCs w:val="24"/>
        </w:rPr>
        <w:t>II</w:t>
      </w:r>
      <w:r>
        <w:rPr>
          <w:rFonts w:hint="eastAsia" w:ascii="Times New Roman" w:hAnsi="Times New Roman" w:eastAsia="宋体" w:cs="Times New Roman"/>
          <w:sz w:val="24"/>
          <w:szCs w:val="24"/>
        </w:rPr>
        <w:t>和</w:t>
      </w:r>
      <w:r>
        <w:rPr>
          <w:rFonts w:hint="eastAsia" w:ascii="Times New Roman" w:hAnsi="Times New Roman" w:eastAsia="宋体" w:cs="Times New Roman"/>
          <w:sz w:val="24"/>
          <w:szCs w:val="24"/>
          <w:lang w:eastAsia="zh-CN"/>
        </w:rPr>
        <w:t>Ⅲ</w:t>
      </w:r>
      <w:r>
        <w:rPr>
          <w:rFonts w:hint="eastAsia" w:ascii="Times New Roman" w:hAnsi="Times New Roman" w:eastAsia="宋体" w:cs="Times New Roman"/>
          <w:sz w:val="24"/>
          <w:szCs w:val="24"/>
        </w:rPr>
        <w:t>级分类法进行联合命名，即“疾病</w:t>
      </w:r>
      <w:r>
        <w:rPr>
          <w:rFonts w:ascii="Times New Roman" w:hAnsi="Times New Roman" w:eastAsia="宋体" w:cs="Times New Roman"/>
          <w:sz w:val="24"/>
          <w:szCs w:val="24"/>
        </w:rPr>
        <w:t>+</w:t>
      </w:r>
      <w:r>
        <w:rPr>
          <w:rFonts w:hint="eastAsia" w:ascii="Times New Roman" w:hAnsi="Times New Roman" w:eastAsia="宋体" w:cs="Times New Roman"/>
          <w:sz w:val="24"/>
          <w:szCs w:val="24"/>
        </w:rPr>
        <w:t>动物品种</w:t>
      </w:r>
      <w:r>
        <w:rPr>
          <w:rFonts w:ascii="Times New Roman" w:hAnsi="Times New Roman" w:eastAsia="宋体" w:cs="Times New Roman"/>
          <w:sz w:val="24"/>
          <w:szCs w:val="24"/>
        </w:rPr>
        <w:t>+</w:t>
      </w:r>
      <w:r>
        <w:rPr>
          <w:rFonts w:hint="eastAsia" w:ascii="Times New Roman" w:hAnsi="Times New Roman" w:eastAsia="宋体" w:cs="Times New Roman"/>
          <w:sz w:val="24"/>
          <w:szCs w:val="24"/>
        </w:rPr>
        <w:t>造模方法”进行命名，命名时应尽量细化。中医药动物模型应体现中医药特点。需用中英两种文字命名。</w:t>
      </w:r>
    </w:p>
    <w:p>
      <w:pPr>
        <w:widowControl/>
        <w:spacing w:line="30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二、研究背景</w:t>
      </w:r>
    </w:p>
    <w:p>
      <w:pPr>
        <w:widowControl/>
        <w:spacing w:line="30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研究目的及意义；国内外研究进展并附参考文献。</w:t>
      </w:r>
    </w:p>
    <w:p>
      <w:pPr>
        <w:widowControl/>
        <w:spacing w:line="30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三、动物模型的制备方法</w:t>
      </w:r>
    </w:p>
    <w:p>
      <w:pPr>
        <w:widowControl/>
        <w:spacing w:line="30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包括实验材料、实验环境、实验操作规程等内容。</w:t>
      </w:r>
      <w:r>
        <w:rPr>
          <w:rFonts w:hint="eastAsia" w:ascii="Times New Roman" w:hAnsi="Times New Roman" w:eastAsia="宋体" w:cs="宋体"/>
          <w:sz w:val="24"/>
          <w:szCs w:val="24"/>
          <w:lang w:bidi="ar"/>
        </w:rPr>
        <w:t>对涉及的实验动物、实验试剂、检测仪器应标明详细信息，并符合国家相关规定。</w:t>
      </w:r>
    </w:p>
    <w:p>
      <w:pPr>
        <w:widowControl/>
        <w:spacing w:line="30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四、动物模型的评价与验证</w:t>
      </w:r>
    </w:p>
    <w:p>
      <w:pPr>
        <w:widowControl/>
        <w:spacing w:line="30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基于模型制备三原则（表观效度、预测效度以及结构效度）对模型指标进行评价，其中包括整体行为特征、组织器官、细胞和分子等在内的指标评价体系。</w:t>
      </w:r>
    </w:p>
    <w:p>
      <w:pPr>
        <w:widowControl/>
        <w:spacing w:line="30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评价方法包括以整体实验为主，涵盖行为、影像、生理生化和组织切片等技术方法进行详细介绍。采用的仪器设备、试剂应满足模型评价的要求，指标完善，条件稳定。</w:t>
      </w:r>
    </w:p>
    <w:p>
      <w:pPr>
        <w:ind w:firstLine="480" w:firstLineChars="200"/>
        <w:jc w:val="left"/>
        <w:rPr>
          <w:rFonts w:ascii="Times New Roman" w:hAnsi="Times New Roman" w:eastAsia="宋体" w:cs="宋体"/>
          <w:sz w:val="24"/>
          <w:szCs w:val="24"/>
        </w:rPr>
      </w:pPr>
      <w:r>
        <w:rPr>
          <w:rFonts w:ascii="Times New Roman" w:hAnsi="Times New Roman" w:eastAsia="宋体" w:cs="宋体"/>
          <w:sz w:val="24"/>
          <w:szCs w:val="24"/>
          <w:lang w:bidi="ar"/>
        </w:rPr>
        <w:t>评价指标包括</w:t>
      </w:r>
      <w:r>
        <w:rPr>
          <w:rFonts w:hint="eastAsia" w:ascii="Times New Roman" w:hAnsi="Times New Roman" w:eastAsia="宋体" w:cs="宋体"/>
          <w:sz w:val="24"/>
          <w:szCs w:val="24"/>
          <w:lang w:bidi="ar"/>
        </w:rPr>
        <w:t>核心指标</w:t>
      </w:r>
      <w:r>
        <w:rPr>
          <w:rFonts w:ascii="Times New Roman" w:hAnsi="Times New Roman" w:eastAsia="宋体" w:cs="宋体"/>
          <w:sz w:val="24"/>
          <w:szCs w:val="24"/>
          <w:lang w:bidi="ar"/>
        </w:rPr>
        <w:t>（如特异的基因改变、特异的染毒</w:t>
      </w:r>
      <w:r>
        <w:rPr>
          <w:rFonts w:hint="eastAsia" w:ascii="Times New Roman" w:hAnsi="Times New Roman" w:eastAsia="宋体" w:cs="宋体"/>
          <w:sz w:val="24"/>
          <w:szCs w:val="24"/>
          <w:lang w:bidi="ar"/>
        </w:rPr>
        <w:t>病原</w:t>
      </w:r>
      <w:r>
        <w:rPr>
          <w:rFonts w:ascii="Times New Roman" w:hAnsi="Times New Roman" w:eastAsia="宋体" w:cs="宋体"/>
          <w:sz w:val="24"/>
          <w:szCs w:val="24"/>
          <w:lang w:bidi="ar"/>
        </w:rPr>
        <w:t>株</w:t>
      </w:r>
      <w:r>
        <w:rPr>
          <w:rFonts w:hint="eastAsia" w:ascii="Times New Roman" w:hAnsi="Times New Roman" w:eastAsia="宋体" w:cs="宋体"/>
          <w:sz w:val="24"/>
          <w:szCs w:val="24"/>
          <w:lang w:bidi="ar"/>
        </w:rPr>
        <w:t>或高载量病毒核酸</w:t>
      </w:r>
      <w:r>
        <w:rPr>
          <w:rFonts w:ascii="Times New Roman" w:hAnsi="Times New Roman" w:eastAsia="宋体" w:cs="宋体"/>
          <w:sz w:val="24"/>
          <w:szCs w:val="24"/>
          <w:lang w:bidi="ar"/>
        </w:rPr>
        <w:t>、</w:t>
      </w:r>
      <w:r>
        <w:rPr>
          <w:rFonts w:hint="eastAsia" w:ascii="Times New Roman" w:hAnsi="Times New Roman" w:eastAsia="宋体" w:cs="宋体"/>
          <w:sz w:val="24"/>
          <w:szCs w:val="24"/>
          <w:lang w:bidi="ar"/>
        </w:rPr>
        <w:t>特异性免疫抗体</w:t>
      </w:r>
      <w:r>
        <w:rPr>
          <w:rFonts w:ascii="Times New Roman" w:hAnsi="Times New Roman" w:eastAsia="宋体" w:cs="宋体"/>
          <w:sz w:val="24"/>
          <w:szCs w:val="24"/>
          <w:lang w:bidi="ar"/>
        </w:rPr>
        <w:t>）；</w:t>
      </w:r>
      <w:r>
        <w:rPr>
          <w:rFonts w:hint="eastAsia" w:ascii="Times New Roman" w:hAnsi="Times New Roman" w:eastAsia="宋体" w:cs="宋体"/>
          <w:sz w:val="24"/>
          <w:szCs w:val="24"/>
          <w:lang w:bidi="ar"/>
        </w:rPr>
        <w:t>主要指标</w:t>
      </w:r>
      <w:r>
        <w:rPr>
          <w:rFonts w:ascii="Times New Roman" w:hAnsi="Times New Roman" w:eastAsia="宋体" w:cs="宋体"/>
          <w:sz w:val="24"/>
          <w:szCs w:val="24"/>
          <w:lang w:bidi="ar"/>
        </w:rPr>
        <w:t>（</w:t>
      </w:r>
      <w:r>
        <w:rPr>
          <w:rFonts w:hint="eastAsia" w:ascii="Times New Roman" w:hAnsi="Times New Roman" w:eastAsia="宋体" w:cs="宋体"/>
          <w:sz w:val="24"/>
          <w:szCs w:val="24"/>
          <w:lang w:bidi="ar"/>
        </w:rPr>
        <w:t>模拟人类疾病临床症状和体征</w:t>
      </w:r>
      <w:r>
        <w:rPr>
          <w:rFonts w:ascii="Times New Roman" w:hAnsi="Times New Roman" w:eastAsia="宋体" w:cs="宋体"/>
          <w:sz w:val="24"/>
          <w:szCs w:val="24"/>
          <w:lang w:bidi="ar"/>
        </w:rPr>
        <w:t>、</w:t>
      </w:r>
      <w:r>
        <w:rPr>
          <w:rFonts w:hint="eastAsia" w:ascii="Times New Roman" w:hAnsi="Times New Roman" w:eastAsia="宋体" w:cs="宋体"/>
          <w:sz w:val="24"/>
          <w:szCs w:val="24"/>
          <w:lang w:bidi="ar"/>
        </w:rPr>
        <w:t>易感器官的特征性改变</w:t>
      </w:r>
      <w:r>
        <w:rPr>
          <w:rFonts w:ascii="Times New Roman" w:hAnsi="Times New Roman" w:eastAsia="宋体" w:cs="宋体"/>
          <w:sz w:val="24"/>
          <w:szCs w:val="24"/>
          <w:lang w:bidi="ar"/>
        </w:rPr>
        <w:t>和特异性生物标志物）；</w:t>
      </w:r>
      <w:r>
        <w:rPr>
          <w:rFonts w:hint="eastAsia" w:ascii="Times New Roman" w:hAnsi="Times New Roman" w:eastAsia="宋体" w:cs="宋体"/>
          <w:sz w:val="24"/>
          <w:szCs w:val="24"/>
          <w:lang w:bidi="ar"/>
        </w:rPr>
        <w:t>重要指标</w:t>
      </w:r>
      <w:r>
        <w:rPr>
          <w:rFonts w:ascii="Times New Roman" w:hAnsi="Times New Roman" w:eastAsia="宋体" w:cs="宋体"/>
          <w:sz w:val="24"/>
          <w:szCs w:val="24"/>
          <w:lang w:bidi="ar"/>
        </w:rPr>
        <w:t>（模拟疾病某些方面的改变的指标）和辅助指标。</w:t>
      </w:r>
    </w:p>
    <w:p>
      <w:pPr>
        <w:widowControl/>
        <w:spacing w:line="30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应包括阳性药物对其指标的证实效应。</w:t>
      </w:r>
    </w:p>
    <w:p>
      <w:pPr>
        <w:widowControl/>
        <w:spacing w:line="30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应说明重复验证的批数。</w:t>
      </w:r>
    </w:p>
    <w:p>
      <w:pPr>
        <w:widowControl/>
        <w:spacing w:line="30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宋体"/>
          <w:sz w:val="24"/>
          <w:szCs w:val="24"/>
          <w:lang w:bidi="ar"/>
        </w:rPr>
        <w:t>中医药</w:t>
      </w:r>
      <w:r>
        <w:rPr>
          <w:rFonts w:ascii="Times New Roman" w:hAnsi="Times New Roman" w:eastAsia="宋体" w:cs="宋体"/>
          <w:sz w:val="24"/>
          <w:szCs w:val="24"/>
          <w:lang w:bidi="ar"/>
        </w:rPr>
        <w:t>模型应有体现中医药特点</w:t>
      </w:r>
      <w:r>
        <w:rPr>
          <w:rFonts w:hint="eastAsia" w:ascii="Times New Roman" w:hAnsi="Times New Roman" w:eastAsia="宋体" w:cs="宋体"/>
          <w:sz w:val="24"/>
          <w:szCs w:val="24"/>
          <w:lang w:bidi="ar"/>
        </w:rPr>
        <w:t>的评价指标。</w:t>
      </w:r>
    </w:p>
    <w:p>
      <w:pPr>
        <w:widowControl/>
        <w:spacing w:line="30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五、动物模型的生物安全性</w:t>
      </w:r>
    </w:p>
    <w:p>
      <w:pPr>
        <w:widowControl/>
        <w:spacing w:line="30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宋体"/>
          <w:sz w:val="24"/>
          <w:szCs w:val="24"/>
          <w:lang w:bidi="ar"/>
        </w:rPr>
        <w:t>动物模型的制备和应用实验必须在具备相应资质的实验室开展。动物模型的制备、应用过程中的监督管理、处置措施</w:t>
      </w:r>
      <w:r>
        <w:rPr>
          <w:rFonts w:hint="eastAsia" w:ascii="Times New Roman" w:hAnsi="Times New Roman" w:eastAsia="宋体" w:cs="Times New Roman"/>
          <w:sz w:val="24"/>
          <w:szCs w:val="24"/>
        </w:rPr>
        <w:t>、对环境和生态影响</w:t>
      </w:r>
      <w:r>
        <w:rPr>
          <w:rFonts w:hint="eastAsia" w:ascii="Times New Roman" w:hAnsi="Times New Roman" w:eastAsia="宋体" w:cs="宋体"/>
          <w:sz w:val="24"/>
          <w:szCs w:val="24"/>
          <w:lang w:bidi="ar"/>
        </w:rPr>
        <w:t>等应符合国家相关法律规定</w:t>
      </w:r>
      <w:r>
        <w:rPr>
          <w:rFonts w:hint="eastAsia" w:ascii="Times New Roman" w:hAnsi="Times New Roman" w:eastAsia="宋体" w:cs="Times New Roman"/>
          <w:sz w:val="24"/>
          <w:szCs w:val="24"/>
        </w:rPr>
        <w:t>。</w:t>
      </w:r>
    </w:p>
    <w:p>
      <w:pPr>
        <w:widowControl/>
        <w:spacing w:line="30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六、讨论和结论</w:t>
      </w:r>
    </w:p>
    <w:p>
      <w:pPr>
        <w:widowControl/>
        <w:spacing w:line="30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总结该模型鉴定和评价的技术方法和指标体系；分析该模型与国内外现有模型的异同；讨论该模型的技术难点、创新性和应用价值。</w:t>
      </w:r>
    </w:p>
    <w:p>
      <w:pPr>
        <w:widowControl/>
        <w:spacing w:line="300" w:lineRule="auto"/>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七、有助于动物模型鉴定和评价的</w:t>
      </w:r>
      <w:r>
        <w:rPr>
          <w:rFonts w:hint="eastAsia" w:ascii="Times New Roman" w:hAnsi="Times New Roman" w:eastAsia="宋体" w:cs="Times New Roman"/>
          <w:b/>
          <w:bCs/>
          <w:sz w:val="24"/>
          <w:szCs w:val="24"/>
          <w:lang w:eastAsia="zh-CN"/>
        </w:rPr>
        <w:t>其他</w:t>
      </w:r>
      <w:r>
        <w:rPr>
          <w:rFonts w:hint="eastAsia" w:ascii="Times New Roman" w:hAnsi="Times New Roman" w:eastAsia="宋体" w:cs="Times New Roman"/>
          <w:b/>
          <w:bCs/>
          <w:sz w:val="24"/>
          <w:szCs w:val="24"/>
        </w:rPr>
        <w:t>材料</w:t>
      </w:r>
    </w:p>
    <w:p>
      <w:pPr>
        <w:widowControl/>
        <w:spacing w:line="300" w:lineRule="auto"/>
        <w:ind w:firstLine="480" w:firstLineChars="200"/>
        <w:jc w:val="left"/>
        <w:rPr>
          <w:rFonts w:ascii="Times New Roman" w:hAnsi="Times New Roman" w:eastAsia="宋体" w:cs="Times New Roman"/>
        </w:rPr>
      </w:pPr>
      <w:r>
        <w:rPr>
          <w:rFonts w:hint="eastAsia" w:ascii="Times New Roman" w:hAnsi="Times New Roman" w:eastAsia="宋体" w:cs="Times New Roman"/>
          <w:sz w:val="24"/>
          <w:szCs w:val="24"/>
        </w:rPr>
        <w:t>其它有助于评价的材料，包括第三方应用机构的证明、在行业一流学术刊物上发表学术论文和引用情况等材料。详细材料以附件形式一并提交。</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harisSI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TIX-Regular">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023BEB"/>
    <w:multiLevelType w:val="singleLevel"/>
    <w:tmpl w:val="C3023BEB"/>
    <w:lvl w:ilvl="0" w:tentative="0">
      <w:start w:val="2"/>
      <w:numFmt w:val="decimal"/>
      <w:suff w:val="nothing"/>
      <w:lvlText w:val="%1、"/>
      <w:lvlJc w:val="left"/>
    </w:lvl>
  </w:abstractNum>
  <w:abstractNum w:abstractNumId="1">
    <w:nsid w:val="FC96CC02"/>
    <w:multiLevelType w:val="singleLevel"/>
    <w:tmpl w:val="FC96CC02"/>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 w:name="KSO_WPS_MARK_KEY" w:val="d3390fda-38be-4b5b-9d03-50219da066a6"/>
  </w:docVars>
  <w:rsids>
    <w:rsidRoot w:val="00365736"/>
    <w:rsid w:val="000619E0"/>
    <w:rsid w:val="00065627"/>
    <w:rsid w:val="000930A4"/>
    <w:rsid w:val="000E567A"/>
    <w:rsid w:val="001034D4"/>
    <w:rsid w:val="00107D35"/>
    <w:rsid w:val="0013396C"/>
    <w:rsid w:val="00175491"/>
    <w:rsid w:val="00195631"/>
    <w:rsid w:val="001A7633"/>
    <w:rsid w:val="001B60AA"/>
    <w:rsid w:val="001D3B36"/>
    <w:rsid w:val="001F70EB"/>
    <w:rsid w:val="002A59EF"/>
    <w:rsid w:val="002B4F2A"/>
    <w:rsid w:val="002F707E"/>
    <w:rsid w:val="003348FE"/>
    <w:rsid w:val="00365736"/>
    <w:rsid w:val="003752D2"/>
    <w:rsid w:val="003B100D"/>
    <w:rsid w:val="003B6FC6"/>
    <w:rsid w:val="003C23B3"/>
    <w:rsid w:val="00427ED2"/>
    <w:rsid w:val="00444023"/>
    <w:rsid w:val="0046327C"/>
    <w:rsid w:val="00482100"/>
    <w:rsid w:val="00485867"/>
    <w:rsid w:val="00512FDE"/>
    <w:rsid w:val="00527D0D"/>
    <w:rsid w:val="00531DA2"/>
    <w:rsid w:val="005445B5"/>
    <w:rsid w:val="0055460F"/>
    <w:rsid w:val="0059733E"/>
    <w:rsid w:val="005B612E"/>
    <w:rsid w:val="005C73B2"/>
    <w:rsid w:val="00636BC4"/>
    <w:rsid w:val="00637080"/>
    <w:rsid w:val="006529C7"/>
    <w:rsid w:val="00664289"/>
    <w:rsid w:val="00672FC6"/>
    <w:rsid w:val="00673EEE"/>
    <w:rsid w:val="006B4A7C"/>
    <w:rsid w:val="006E7E0D"/>
    <w:rsid w:val="006F5D8F"/>
    <w:rsid w:val="00703AE3"/>
    <w:rsid w:val="007326A8"/>
    <w:rsid w:val="007913E0"/>
    <w:rsid w:val="007A2D55"/>
    <w:rsid w:val="007D2E91"/>
    <w:rsid w:val="007D2F8A"/>
    <w:rsid w:val="00832A2F"/>
    <w:rsid w:val="0085484A"/>
    <w:rsid w:val="00856B9D"/>
    <w:rsid w:val="008C0517"/>
    <w:rsid w:val="008C796C"/>
    <w:rsid w:val="0090779E"/>
    <w:rsid w:val="0091241B"/>
    <w:rsid w:val="00985764"/>
    <w:rsid w:val="00A06AA1"/>
    <w:rsid w:val="00A13BDC"/>
    <w:rsid w:val="00A16E68"/>
    <w:rsid w:val="00A44125"/>
    <w:rsid w:val="00A44D25"/>
    <w:rsid w:val="00A626A4"/>
    <w:rsid w:val="00A840F0"/>
    <w:rsid w:val="00AA38BE"/>
    <w:rsid w:val="00AA4C5B"/>
    <w:rsid w:val="00AA7E8B"/>
    <w:rsid w:val="00AC6056"/>
    <w:rsid w:val="00AD0392"/>
    <w:rsid w:val="00AF47CB"/>
    <w:rsid w:val="00AF6E68"/>
    <w:rsid w:val="00B450DE"/>
    <w:rsid w:val="00C03939"/>
    <w:rsid w:val="00C03B08"/>
    <w:rsid w:val="00C215C8"/>
    <w:rsid w:val="00C369E8"/>
    <w:rsid w:val="00C6487C"/>
    <w:rsid w:val="00C90591"/>
    <w:rsid w:val="00CE03DD"/>
    <w:rsid w:val="00CE1F4F"/>
    <w:rsid w:val="00CE7D77"/>
    <w:rsid w:val="00CF74C8"/>
    <w:rsid w:val="00D01264"/>
    <w:rsid w:val="00D41CC4"/>
    <w:rsid w:val="00D555C6"/>
    <w:rsid w:val="00D62934"/>
    <w:rsid w:val="00D91A97"/>
    <w:rsid w:val="00DA2181"/>
    <w:rsid w:val="00DB14DB"/>
    <w:rsid w:val="00DB28C2"/>
    <w:rsid w:val="00DE45DF"/>
    <w:rsid w:val="00DE79D4"/>
    <w:rsid w:val="00DE7A19"/>
    <w:rsid w:val="00E02AA1"/>
    <w:rsid w:val="00E44C53"/>
    <w:rsid w:val="00E64FFC"/>
    <w:rsid w:val="00E76D07"/>
    <w:rsid w:val="00E86882"/>
    <w:rsid w:val="00EA2EDC"/>
    <w:rsid w:val="00EA4ACE"/>
    <w:rsid w:val="00EA63CA"/>
    <w:rsid w:val="00EE4F0B"/>
    <w:rsid w:val="00F06D53"/>
    <w:rsid w:val="00F373AD"/>
    <w:rsid w:val="00F465E8"/>
    <w:rsid w:val="00F757DB"/>
    <w:rsid w:val="00F87D79"/>
    <w:rsid w:val="00FD78B8"/>
    <w:rsid w:val="00FF0626"/>
    <w:rsid w:val="00FF7229"/>
    <w:rsid w:val="01FF4B00"/>
    <w:rsid w:val="031F4CB3"/>
    <w:rsid w:val="0452504C"/>
    <w:rsid w:val="059D7CD2"/>
    <w:rsid w:val="05C32653"/>
    <w:rsid w:val="078B44A3"/>
    <w:rsid w:val="07BE793B"/>
    <w:rsid w:val="0DC07FF8"/>
    <w:rsid w:val="0EA77D80"/>
    <w:rsid w:val="149B66DD"/>
    <w:rsid w:val="17136BFA"/>
    <w:rsid w:val="187D53EA"/>
    <w:rsid w:val="1A635B88"/>
    <w:rsid w:val="1D054888"/>
    <w:rsid w:val="22EE6051"/>
    <w:rsid w:val="2AD50B87"/>
    <w:rsid w:val="405650CB"/>
    <w:rsid w:val="43B96517"/>
    <w:rsid w:val="45EE64D4"/>
    <w:rsid w:val="576779A6"/>
    <w:rsid w:val="5F9B00AB"/>
    <w:rsid w:val="65AE4402"/>
    <w:rsid w:val="6A755209"/>
    <w:rsid w:val="7BDE0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Emphasis"/>
    <w:basedOn w:val="5"/>
    <w:qFormat/>
    <w:uiPriority w:val="20"/>
    <w:rPr>
      <w:i/>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7644</Words>
  <Characters>12360</Characters>
  <Lines>46</Lines>
  <Paragraphs>13</Paragraphs>
  <TotalTime>3</TotalTime>
  <ScaleCrop>false</ScaleCrop>
  <LinksUpToDate>false</LinksUpToDate>
  <CharactersWithSpaces>13088</CharactersWithSpaces>
  <Application>WPS Office_11.1.0.12375_F1E327BC-269C-435d-A152-05C5408002CA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2023-03-24T03:37:00Z</dcterms:created>
  <dc:creator>孙 秀萍</dc:creator>
  <cp:lastModifiedBy>小亮</cp:lastModifiedBy>
  <dcterms:modified xsi:type="dcterms:W3CDTF">2025-03-24T00:14:39Z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2052-11.1.0.12375</vt:lpwstr>
  </property>
  <property fmtid="{D5CDD505-2E9C-101B-9397-08002B2CF9AE}" pid="3" name="ICV">
    <vt:lpwstr>EF3106A7DE974F7D93AF511E99A1AAF0</vt:lpwstr>
  </property>
  <property fmtid="{D5CDD505-2E9C-101B-9397-08002B2CF9AE}" pid="4" name="KSOTemplateDocerSaveRecord">
    <vt:lpwstr>eyJoZGlkIjoiYzYzNGQ3ODc0Y2U5ODllMDNhZjdlYzczNGJiOThlNTgiLCJ1c2VySWQiOiIyNTQ0NTA3MDQifQ==</vt:lpwstr>
  </property>
</Properties>
</file>