
<file path=[Content_Types].xml><?xml version="1.0" encoding="utf-8"?>
<Types xmlns="http://schemas.openxmlformats.org/package/2006/content-types">
  <Default Extension="jpeg" ContentType="image/jpeg"/>
  <Default Extension="JPG" ContentType="image/.jpg"/>
  <Default Extension="tiff" ContentType="image/tif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rPr>
          <w:rFonts w:hint="eastAsia"/>
        </w:rPr>
      </w:pPr>
      <w:r>
        <w:rPr>
          <w:rFonts w:hint="eastAsia"/>
        </w:rPr>
        <w:t>酪氨酸酶基因敲除白化西藏小型猪研发报告</w:t>
      </w:r>
      <w:bookmarkStart w:id="313" w:name="_GoBack"/>
      <w:bookmarkEnd w:id="313"/>
    </w:p>
    <w:p>
      <w:pPr>
        <w:pStyle w:val="3"/>
        <w:bidi w:val="0"/>
        <w:rPr>
          <w:rFonts w:hint="eastAsia" w:ascii="宋体" w:hAnsi="宋体" w:eastAsia="宋体" w:cs="宋体"/>
          <w:sz w:val="24"/>
          <w:szCs w:val="24"/>
        </w:rPr>
      </w:pPr>
      <w:r>
        <w:rPr>
          <w:rFonts w:hint="eastAsia" w:ascii="宋体" w:hAnsi="宋体" w:eastAsia="宋体" w:cs="宋体"/>
          <w:sz w:val="24"/>
          <w:szCs w:val="24"/>
        </w:rPr>
        <w:t>一、动物模型的命名</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中文命名：酪氨酸酶基因敲除白化西藏小型猪</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英文命名：</w:t>
      </w:r>
      <w:r>
        <w:rPr>
          <w:rFonts w:hint="eastAsia" w:ascii="宋体" w:hAnsi="宋体" w:eastAsia="宋体" w:cs="宋体"/>
          <w:sz w:val="24"/>
          <w:szCs w:val="24"/>
          <w:highlight w:val="none"/>
          <w:lang w:val="en-US" w:eastAsia="zh-CN"/>
        </w:rPr>
        <w:t>Tyrosinase</w:t>
      </w:r>
      <w:r>
        <w:rPr>
          <w:rFonts w:hint="eastAsia" w:ascii="宋体" w:hAnsi="宋体" w:eastAsia="宋体" w:cs="宋体"/>
          <w:sz w:val="24"/>
          <w:szCs w:val="24"/>
          <w:lang w:val="en-US" w:eastAsia="zh-CN"/>
        </w:rPr>
        <w:t xml:space="preserve"> gene knockout albino Tibet minipig</w:t>
      </w:r>
    </w:p>
    <w:p>
      <w:pPr>
        <w:pStyle w:val="3"/>
        <w:bidi w:val="0"/>
        <w:rPr>
          <w:rFonts w:hint="eastAsia" w:ascii="宋体" w:hAnsi="宋体" w:eastAsia="宋体" w:cs="宋体"/>
          <w:sz w:val="24"/>
          <w:szCs w:val="24"/>
        </w:rPr>
      </w:pPr>
      <w:r>
        <w:rPr>
          <w:rFonts w:hint="eastAsia" w:ascii="宋体" w:hAnsi="宋体" w:eastAsia="宋体" w:cs="宋体"/>
          <w:sz w:val="24"/>
          <w:szCs w:val="24"/>
        </w:rPr>
        <w:t>二、研究背景综述资料</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西藏小型猪原产于我国青藏高原，是少有的高原型猪种</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lang w:eastAsia="zh-CN"/>
        </w:rPr>
        <w:instrText xml:space="preserve"> ADDIN NE.Ref.{DFBE4C28-9248-4ECA-94AD-C01D749F38CF}</w:instrText>
      </w:r>
      <w:r>
        <w:rPr>
          <w:rFonts w:hint="eastAsia" w:ascii="宋体" w:hAnsi="宋体" w:eastAsia="宋体" w:cs="宋体"/>
          <w:sz w:val="24"/>
          <w:szCs w:val="24"/>
          <w:highlight w:val="none"/>
        </w:rPr>
        <w:fldChar w:fldCharType="separate"/>
      </w:r>
      <w:r>
        <w:rPr>
          <w:rFonts w:hint="eastAsia" w:ascii="宋体" w:hAnsi="宋体"/>
          <w:color w:val="080000"/>
          <w:sz w:val="24"/>
          <w:vertAlign w:val="superscript"/>
        </w:rPr>
        <w:t>[1]</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能适应恶劣的高寒气候和以放牧为主的低劣饲养条件</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ADDIN NE.Ref.{3FBA4E4C-2B11-4139-920A-BC0F867D6960}</w:instrText>
      </w:r>
      <w:r>
        <w:rPr>
          <w:rFonts w:hint="eastAsia" w:ascii="宋体" w:hAnsi="宋体" w:eastAsia="宋体" w:cs="宋体"/>
          <w:sz w:val="24"/>
          <w:szCs w:val="24"/>
          <w:highlight w:val="none"/>
          <w:lang w:val="en-US" w:eastAsia="zh-CN"/>
        </w:rPr>
        <w:fldChar w:fldCharType="separate"/>
      </w:r>
      <w:r>
        <w:rPr>
          <w:rFonts w:hint="eastAsia" w:ascii="宋体" w:hAnsi="宋体"/>
          <w:color w:val="080000"/>
          <w:sz w:val="24"/>
          <w:vertAlign w:val="superscript"/>
        </w:rPr>
        <w:t>[2]</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，也是我国目前已知小型猪品种中体重最轻的品种之一。2004年</w:t>
      </w:r>
      <w:r>
        <w:rPr>
          <w:rFonts w:hint="eastAsia" w:ascii="宋体" w:hAnsi="宋体" w:eastAsia="宋体" w:cs="宋体"/>
          <w:sz w:val="24"/>
          <w:szCs w:val="24"/>
          <w:highlight w:val="none"/>
        </w:rPr>
        <w:t>顾为望教授等人从中国西藏</w:t>
      </w:r>
      <w:r>
        <w:rPr>
          <w:rFonts w:hint="eastAsia" w:ascii="宋体" w:hAnsi="宋体" w:eastAsia="宋体" w:cs="宋体"/>
          <w:sz w:val="24"/>
          <w:szCs w:val="24"/>
          <w:highlight w:val="none"/>
          <w:lang w:val="en-US" w:eastAsia="zh-CN"/>
        </w:rPr>
        <w:t>林芝地区将</w:t>
      </w:r>
      <w:r>
        <w:rPr>
          <w:rFonts w:hint="eastAsia" w:ascii="宋体" w:hAnsi="宋体" w:eastAsia="宋体" w:cs="宋体"/>
          <w:sz w:val="24"/>
          <w:szCs w:val="24"/>
          <w:highlight w:val="none"/>
        </w:rPr>
        <w:t>藏猪引种到亚热带地区中国广州，进行了风土驯化和实验动物化研究，</w:t>
      </w:r>
      <w:r>
        <w:rPr>
          <w:rFonts w:hint="eastAsia" w:ascii="宋体" w:hAnsi="宋体" w:eastAsia="宋体" w:cs="宋体"/>
          <w:sz w:val="24"/>
          <w:szCs w:val="24"/>
          <w:highlight w:val="none"/>
          <w:lang w:val="en-US" w:eastAsia="zh-CN"/>
        </w:rPr>
        <w:t>并正式命名为实验用</w:t>
      </w:r>
      <w:r>
        <w:rPr>
          <w:rFonts w:hint="eastAsia" w:ascii="宋体" w:hAnsi="宋体" w:eastAsia="宋体" w:cs="宋体"/>
          <w:sz w:val="24"/>
          <w:szCs w:val="24"/>
          <w:highlight w:val="none"/>
        </w:rPr>
        <w:t>西藏小型猪</w:t>
      </w:r>
      <w:r>
        <w:rPr>
          <w:rFonts w:hint="eastAsia" w:ascii="宋体" w:hAnsi="宋体" w:eastAsia="宋体" w:cs="宋体"/>
          <w:sz w:val="24"/>
          <w:szCs w:val="24"/>
          <w:highlight w:val="none"/>
        </w:rPr>
        <w:fldChar w:fldCharType="begin"/>
      </w:r>
      <w:r>
        <w:rPr>
          <w:rFonts w:hint="eastAsia" w:ascii="宋体" w:hAnsi="宋体" w:eastAsia="宋体" w:cs="宋体"/>
          <w:sz w:val="24"/>
          <w:szCs w:val="24"/>
          <w:highlight w:val="none"/>
          <w:lang w:eastAsia="zh-CN"/>
        </w:rPr>
        <w:instrText xml:space="preserve"> ADDIN NE.Ref.{BD2173C6-8A46-4DCB-A8B4-52DF31E71172}</w:instrText>
      </w:r>
      <w:r>
        <w:rPr>
          <w:rFonts w:hint="eastAsia" w:ascii="宋体" w:hAnsi="宋体" w:eastAsia="宋体" w:cs="宋体"/>
          <w:sz w:val="24"/>
          <w:szCs w:val="24"/>
          <w:highlight w:val="none"/>
        </w:rPr>
        <w:fldChar w:fldCharType="separate"/>
      </w:r>
      <w:r>
        <w:rPr>
          <w:rFonts w:hint="eastAsia" w:ascii="宋体" w:hAnsi="宋体"/>
          <w:color w:val="080000"/>
          <w:sz w:val="24"/>
          <w:vertAlign w:val="superscript"/>
        </w:rPr>
        <w:t>[3]</w:t>
      </w:r>
      <w:r>
        <w:rPr>
          <w:rFonts w:hint="eastAsia" w:ascii="宋体" w:hAnsi="宋体" w:eastAsia="宋体" w:cs="宋体"/>
          <w:sz w:val="24"/>
          <w:szCs w:val="24"/>
          <w:highlight w:val="none"/>
        </w:rPr>
        <w:fldChar w:fldCharType="end"/>
      </w:r>
      <w:r>
        <w:rPr>
          <w:rFonts w:hint="eastAsia" w:ascii="宋体" w:hAnsi="宋体" w:eastAsia="宋体" w:cs="宋体"/>
          <w:sz w:val="24"/>
          <w:szCs w:val="24"/>
          <w:highlight w:val="none"/>
          <w:lang w:eastAsia="zh-CN"/>
        </w:rPr>
        <w:t>。</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西藏小型猪四肢结实紧凑，蹄质坚硬，被毛多为黑色硬毛，颈部有一直延伸到肩部的鬃毛</w:t>
      </w:r>
      <w:r>
        <w:rPr>
          <w:rFonts w:hint="eastAsia" w:ascii="宋体" w:hAnsi="宋体" w:eastAsia="宋体" w:cs="宋体"/>
          <w:sz w:val="24"/>
          <w:szCs w:val="24"/>
          <w:highlight w:val="none"/>
          <w:lang w:eastAsia="zh-CN"/>
        </w:rPr>
        <w:t>（</w:t>
      </w:r>
      <w:r>
        <w:rPr>
          <w:rFonts w:hint="eastAsia" w:ascii="宋体" w:hAnsi="宋体" w:eastAsia="宋体" w:cs="宋体"/>
          <w:color w:val="000000"/>
          <w:sz w:val="24"/>
          <w:szCs w:val="24"/>
          <w:highlight w:val="none"/>
        </w:rPr>
        <w:t>图1</w:t>
      </w:r>
      <w:r>
        <w:rPr>
          <w:rFonts w:hint="eastAsia" w:ascii="宋体" w:hAnsi="宋体" w:eastAsia="宋体" w:cs="宋体"/>
          <w:color w:val="000000"/>
          <w:sz w:val="24"/>
          <w:szCs w:val="24"/>
          <w:highlight w:val="none"/>
          <w:lang w:val="en-US" w:eastAsia="zh-CN"/>
        </w:rPr>
        <w:t>）</w:t>
      </w:r>
      <w:r>
        <w:rPr>
          <w:rFonts w:hint="eastAsia" w:ascii="宋体" w:hAnsi="宋体" w:eastAsia="宋体" w:cs="宋体"/>
          <w:sz w:val="24"/>
          <w:szCs w:val="24"/>
        </w:rPr>
        <w:t>。中国猪品种志记载，成年雌性藏猪体重30.96 kg，体长80.31 cm，体高48.81 cm，胸围71.74 cm；成年雄性藏猪体重38.30 kg，体长82.58 cm，体高49.83 cm，胸围77.00 cm</w:t>
      </w:r>
      <w:r>
        <w:rPr>
          <w:rFonts w:hint="eastAsia" w:ascii="宋体" w:hAnsi="宋体" w:eastAsia="宋体" w:cs="宋体"/>
          <w:sz w:val="24"/>
          <w:szCs w:val="24"/>
        </w:rPr>
        <w:fldChar w:fldCharType="begin"/>
      </w:r>
      <w:r>
        <w:rPr>
          <w:rFonts w:hint="eastAsia" w:ascii="宋体" w:hAnsi="宋体" w:eastAsia="宋体" w:cs="宋体"/>
          <w:sz w:val="24"/>
          <w:szCs w:val="24"/>
          <w:lang w:eastAsia="zh-CN"/>
        </w:rPr>
        <w:instrText xml:space="preserve"> ADDIN NE.Ref.{088694DB-CBD3-4A28-AEF8-E2E11C0C99CA}</w:instrText>
      </w:r>
      <w:r>
        <w:rPr>
          <w:rFonts w:hint="eastAsia" w:ascii="宋体" w:hAnsi="宋体" w:eastAsia="宋体" w:cs="宋体"/>
          <w:sz w:val="24"/>
          <w:szCs w:val="24"/>
        </w:rPr>
        <w:fldChar w:fldCharType="separate"/>
      </w:r>
      <w:r>
        <w:rPr>
          <w:rFonts w:hint="eastAsia" w:ascii="宋体" w:hAnsi="宋体"/>
          <w:color w:val="080000"/>
          <w:sz w:val="24"/>
          <w:vertAlign w:val="superscript"/>
        </w:rPr>
        <w:t>[4]</w:t>
      </w:r>
      <w:r>
        <w:rPr>
          <w:rFonts w:hint="eastAsia" w:ascii="宋体" w:hAnsi="宋体" w:eastAsia="宋体" w:cs="宋体"/>
          <w:sz w:val="24"/>
          <w:szCs w:val="24"/>
        </w:rPr>
        <w:fldChar w:fldCharType="end"/>
      </w:r>
      <w:r>
        <w:rPr>
          <w:rFonts w:hint="eastAsia" w:ascii="宋体" w:hAnsi="宋体" w:eastAsia="宋体" w:cs="宋体"/>
          <w:sz w:val="24"/>
          <w:szCs w:val="24"/>
        </w:rPr>
        <w:t>。</w:t>
      </w:r>
      <w:r>
        <w:rPr>
          <w:rFonts w:hint="eastAsia" w:ascii="宋体" w:hAnsi="宋体" w:eastAsia="宋体" w:cs="宋体"/>
          <w:color w:val="000000"/>
          <w:sz w:val="24"/>
          <w:szCs w:val="24"/>
        </w:rPr>
        <w:t>研究发现藏猪中有18个与胎盘发育相关</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基因和39个与子宫血液循环相关</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基因得到了快速进化，使藏猪能在条件恶劣的高海拔环境下成功繁殖后代</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lang w:eastAsia="zh-CN"/>
        </w:rPr>
        <w:instrText xml:space="preserve"> ADDIN NE.Ref.{7EDC685C-604C-454C-B456-4247515003D7}</w:instrText>
      </w:r>
      <w:r>
        <w:rPr>
          <w:rFonts w:hint="eastAsia" w:ascii="宋体" w:hAnsi="宋体" w:eastAsia="宋体" w:cs="宋体"/>
          <w:color w:val="000000"/>
          <w:sz w:val="24"/>
          <w:szCs w:val="24"/>
        </w:rPr>
        <w:fldChar w:fldCharType="separate"/>
      </w:r>
      <w:r>
        <w:rPr>
          <w:rFonts w:hint="eastAsia" w:ascii="等线" w:hAnsi="等线" w:eastAsia="等线"/>
          <w:color w:val="080000"/>
          <w:sz w:val="21"/>
          <w:vertAlign w:val="superscript"/>
        </w:rPr>
        <w:t>[5]</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与普通家猪相比，藏猪通过减少每胎的产仔数量（藏猪：4-8头每胎，家猪：8-10头每胎），优化子宫血液循环，有效增加氧的利用效率，来产出更强壮的仔猪以适应恶劣环境（仔猪与母猪的体重比例，藏猪：2.83%，家猪：0.57%）</w:t>
      </w:r>
      <w:r>
        <w:rPr>
          <w:rFonts w:hint="eastAsia" w:ascii="宋体" w:hAnsi="宋体" w:eastAsia="宋体" w:cs="宋体"/>
          <w:color w:val="000000"/>
          <w:sz w:val="24"/>
          <w:szCs w:val="24"/>
        </w:rPr>
        <w:fldChar w:fldCharType="begin"/>
      </w:r>
      <w:r>
        <w:rPr>
          <w:rFonts w:hint="eastAsia" w:ascii="宋体" w:hAnsi="宋体" w:eastAsia="宋体" w:cs="宋体"/>
          <w:color w:val="000000"/>
          <w:sz w:val="24"/>
          <w:szCs w:val="24"/>
          <w:lang w:eastAsia="zh-CN"/>
        </w:rPr>
        <w:instrText xml:space="preserve"> ADDIN NE.Ref.{6072F24D-8A45-498A-A5CA-8A98E904C55A}</w:instrText>
      </w:r>
      <w:r>
        <w:rPr>
          <w:rFonts w:hint="eastAsia" w:ascii="宋体" w:hAnsi="宋体" w:eastAsia="宋体" w:cs="宋体"/>
          <w:color w:val="000000"/>
          <w:sz w:val="24"/>
          <w:szCs w:val="24"/>
        </w:rPr>
        <w:fldChar w:fldCharType="separate"/>
      </w:r>
      <w:r>
        <w:rPr>
          <w:rFonts w:hint="eastAsia" w:ascii="等线" w:hAnsi="等线" w:eastAsia="等线"/>
          <w:color w:val="080000"/>
          <w:sz w:val="21"/>
          <w:vertAlign w:val="superscript"/>
        </w:rPr>
        <w:t>[5]</w:t>
      </w:r>
      <w:r>
        <w:rPr>
          <w:rFonts w:hint="eastAsia" w:ascii="宋体" w:hAnsi="宋体" w:eastAsia="宋体" w:cs="宋体"/>
          <w:color w:val="000000"/>
          <w:sz w:val="24"/>
          <w:szCs w:val="24"/>
        </w:rPr>
        <w:fldChar w:fldCharType="end"/>
      </w:r>
      <w:r>
        <w:rPr>
          <w:rFonts w:hint="eastAsia" w:ascii="宋体" w:hAnsi="宋体" w:eastAsia="宋体" w:cs="宋体"/>
          <w:color w:val="000000"/>
          <w:sz w:val="24"/>
          <w:szCs w:val="24"/>
        </w:rPr>
        <w:t>。</w:t>
      </w:r>
      <w:r>
        <w:rPr>
          <w:rFonts w:hint="eastAsia" w:ascii="宋体" w:hAnsi="宋体" w:eastAsia="宋体" w:cs="宋体"/>
          <w:sz w:val="24"/>
          <w:szCs w:val="24"/>
        </w:rPr>
        <w:t>藏猪有较强的耐寒能力，与胞内线粒体产能有着密切的关系。西藏小型猪线粒体DNA序列具有一定的独特性，其线粒体控制区的串联重复区具有A型和B型。约有54.9％的西藏小型猪的串联重复区序列全部为“gtacacgtgc”，称为A型；约有45.1％的西藏小型猪的串联重复</w:t>
      </w:r>
      <w:r>
        <w:rPr>
          <w:rFonts w:hint="eastAsia" w:ascii="宋体" w:hAnsi="宋体" w:eastAsia="宋体" w:cs="宋体"/>
          <w:sz w:val="24"/>
          <w:szCs w:val="24"/>
          <w:lang w:val="en-US" w:eastAsia="zh-CN"/>
        </w:rPr>
        <w:t>区序列</w:t>
      </w:r>
      <w:r>
        <w:rPr>
          <w:rFonts w:hint="eastAsia" w:ascii="宋体" w:hAnsi="宋体" w:eastAsia="宋体" w:cs="宋体"/>
          <w:sz w:val="24"/>
          <w:szCs w:val="24"/>
        </w:rPr>
        <w:t>在</w:t>
      </w:r>
      <w:r>
        <w:rPr>
          <w:rFonts w:hint="eastAsia" w:ascii="宋体" w:hAnsi="宋体" w:eastAsia="宋体" w:cs="宋体"/>
          <w:sz w:val="24"/>
          <w:szCs w:val="24"/>
          <w:lang w:val="en-US" w:eastAsia="zh-CN"/>
        </w:rPr>
        <w:t>靠</w:t>
      </w:r>
      <w:r>
        <w:rPr>
          <w:rFonts w:hint="eastAsia" w:ascii="宋体" w:hAnsi="宋体" w:eastAsia="宋体" w:cs="宋体"/>
          <w:sz w:val="24"/>
          <w:szCs w:val="24"/>
        </w:rPr>
        <w:t>近3’端为“gtacacgtgc”，而靠近5’端有较多的G→A转换，形成“gtacacatge”和“gtacacgtac”排列或交错排列，称为B型。而国内其他小型猪和在基因库查询到的其他猪种的串联重复区均只有A型，很少</w:t>
      </w:r>
      <w:r>
        <w:rPr>
          <w:rFonts w:hint="eastAsia" w:ascii="宋体" w:hAnsi="宋体" w:eastAsia="宋体" w:cs="宋体"/>
          <w:sz w:val="24"/>
          <w:szCs w:val="24"/>
          <w:lang w:val="en-US" w:eastAsia="zh-CN"/>
        </w:rPr>
        <w:t>发生</w:t>
      </w:r>
      <w:r>
        <w:rPr>
          <w:rFonts w:hint="eastAsia" w:ascii="宋体" w:hAnsi="宋体" w:eastAsia="宋体" w:cs="宋体"/>
          <w:sz w:val="24"/>
          <w:szCs w:val="24"/>
        </w:rPr>
        <w:t>变异，B型未见报道</w:t>
      </w:r>
      <w:r>
        <w:rPr>
          <w:rFonts w:hint="eastAsia" w:ascii="宋体" w:hAnsi="宋体" w:eastAsia="宋体" w:cs="宋体"/>
          <w:sz w:val="24"/>
          <w:szCs w:val="24"/>
        </w:rPr>
        <w:fldChar w:fldCharType="begin"/>
      </w:r>
      <w:r>
        <w:rPr>
          <w:rFonts w:hint="eastAsia" w:ascii="宋体" w:hAnsi="宋体" w:eastAsia="宋体" w:cs="宋体"/>
          <w:sz w:val="24"/>
          <w:szCs w:val="24"/>
          <w:lang w:eastAsia="zh-CN"/>
        </w:rPr>
        <w:instrText xml:space="preserve"> ADDIN NE.Ref.{18F2AA48-B051-4B7C-9644-1342C26B743A}</w:instrText>
      </w:r>
      <w:r>
        <w:rPr>
          <w:rFonts w:hint="eastAsia" w:ascii="宋体" w:hAnsi="宋体" w:eastAsia="宋体" w:cs="宋体"/>
          <w:sz w:val="24"/>
          <w:szCs w:val="24"/>
        </w:rPr>
        <w:fldChar w:fldCharType="separate"/>
      </w:r>
      <w:r>
        <w:rPr>
          <w:rFonts w:hint="eastAsia" w:ascii="等线" w:hAnsi="等线" w:eastAsia="等线"/>
          <w:color w:val="080000"/>
          <w:sz w:val="21"/>
          <w:vertAlign w:val="superscript"/>
        </w:rPr>
        <w:t>[6]</w:t>
      </w:r>
      <w:r>
        <w:rPr>
          <w:rFonts w:hint="eastAsia" w:ascii="宋体" w:hAnsi="宋体" w:eastAsia="宋体" w:cs="宋体"/>
          <w:sz w:val="24"/>
          <w:szCs w:val="24"/>
        </w:rPr>
        <w:fldChar w:fldCharType="end"/>
      </w:r>
      <w:r>
        <w:rPr>
          <w:rFonts w:hint="eastAsia" w:ascii="宋体" w:hAnsi="宋体" w:eastAsia="宋体" w:cs="宋体"/>
          <w:sz w:val="24"/>
          <w:szCs w:val="24"/>
        </w:rPr>
        <w:t>。</w:t>
      </w:r>
    </w:p>
    <w:p>
      <w:pPr>
        <w:spacing w:line="360" w:lineRule="auto"/>
        <w:ind w:firstLine="480" w:firstLineChars="200"/>
        <w:jc w:val="center"/>
        <w:rPr>
          <w:rFonts w:hint="default" w:ascii="Times New Roman" w:hAnsi="Times New Roman" w:cs="Times New Roman"/>
          <w:szCs w:val="24"/>
        </w:rPr>
      </w:pPr>
      <w:r>
        <w:rPr>
          <w:rFonts w:hint="default" w:ascii="Times New Roman" w:hAnsi="Times New Roman" w:cs="Times New Roman"/>
          <w:szCs w:val="24"/>
        </w:rPr>
        <w:drawing>
          <wp:inline distT="0" distB="0" distL="114300" distR="114300">
            <wp:extent cx="3239770" cy="2424430"/>
            <wp:effectExtent l="0" t="0" r="11430" b="1270"/>
            <wp:docPr id="20" name="图片 20" descr="IMG_20200309_090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0200309_090022"/>
                    <pic:cNvPicPr>
                      <a:picLocks noChangeAspect="1"/>
                    </pic:cNvPicPr>
                  </pic:nvPicPr>
                  <pic:blipFill>
                    <a:blip r:embed="rId4">
                      <a:lum bright="12000"/>
                    </a:blip>
                    <a:stretch>
                      <a:fillRect/>
                    </a:stretch>
                  </pic:blipFill>
                  <pic:spPr>
                    <a:xfrm>
                      <a:off x="0" y="0"/>
                      <a:ext cx="3239770" cy="2424430"/>
                    </a:xfrm>
                    <a:prstGeom prst="rect">
                      <a:avLst/>
                    </a:prstGeom>
                  </pic:spPr>
                </pic:pic>
              </a:graphicData>
            </a:graphic>
          </wp:inline>
        </w:drawing>
      </w:r>
    </w:p>
    <w:p>
      <w:pPr>
        <w:adjustRightInd w:val="0"/>
        <w:snapToGrid w:val="0"/>
        <w:spacing w:line="360" w:lineRule="auto"/>
        <w:jc w:val="center"/>
        <w:rPr>
          <w:rFonts w:ascii="Times New Roman" w:hAnsi="Times New Roman" w:cs="Times New Roman"/>
          <w:sz w:val="21"/>
          <w:szCs w:val="21"/>
        </w:rPr>
      </w:pPr>
      <w:r>
        <w:rPr>
          <w:rFonts w:hint="default" w:ascii="Times New Roman" w:hAnsi="Times New Roman" w:cs="Times New Roman"/>
          <w:sz w:val="21"/>
          <w:szCs w:val="21"/>
        </w:rPr>
        <w:t>图</w:t>
      </w:r>
      <w:r>
        <w:rPr>
          <w:rFonts w:hint="eastAsia" w:ascii="Times New Roman" w:hAnsi="Times New Roman" w:cs="Times New Roman"/>
          <w:sz w:val="21"/>
          <w:szCs w:val="21"/>
          <w:lang w:val="en-US" w:eastAsia="zh-CN"/>
        </w:rPr>
        <w:t>1</w:t>
      </w:r>
      <w:r>
        <w:rPr>
          <w:rFonts w:hint="default" w:ascii="Times New Roman" w:hAnsi="Times New Roman" w:cs="Times New Roman"/>
          <w:sz w:val="21"/>
          <w:szCs w:val="21"/>
        </w:rPr>
        <w:t xml:space="preserve">  实验用西藏小型猪</w:t>
      </w:r>
    </w:p>
    <w:p>
      <w:pPr>
        <w:adjustRightInd w:val="0"/>
        <w:snapToGrid w:val="0"/>
        <w:spacing w:line="360" w:lineRule="auto"/>
        <w:ind w:firstLine="0" w:firstLineChars="0"/>
        <w:jc w:val="center"/>
        <w:rPr>
          <w:rFonts w:hint="eastAsia" w:ascii="Times New Roman" w:hAnsi="Times New Roman" w:cs="Times New Roman"/>
          <w:szCs w:val="24"/>
        </w:rPr>
      </w:pPr>
      <w:r>
        <w:rPr>
          <w:rFonts w:hint="eastAsia" w:ascii="Times New Roman" w:hAnsi="Times New Roman" w:cs="Times New Roman"/>
          <w:color w:val="000000"/>
          <w:sz w:val="21"/>
          <w:szCs w:val="21"/>
        </w:rPr>
        <w:t xml:space="preserve">Figure </w:t>
      </w:r>
      <w:r>
        <w:rPr>
          <w:rFonts w:hint="eastAsia" w:ascii="Times New Roman" w:hAnsi="Times New Roman" w:cs="Times New Roman"/>
          <w:color w:val="000000"/>
          <w:sz w:val="21"/>
          <w:szCs w:val="21"/>
          <w:lang w:val="en-US" w:eastAsia="zh-CN"/>
        </w:rPr>
        <w:t>1</w:t>
      </w:r>
      <w:r>
        <w:rPr>
          <w:rFonts w:hint="eastAsia" w:ascii="Times New Roman" w:hAnsi="Times New Roman" w:cs="Times New Roman"/>
          <w:color w:val="000000"/>
          <w:sz w:val="21"/>
          <w:szCs w:val="21"/>
        </w:rPr>
        <w:t xml:space="preserve">  </w:t>
      </w:r>
      <w:r>
        <w:rPr>
          <w:rFonts w:hint="eastAsia" w:ascii="Times New Roman" w:hAnsi="Times New Roman" w:cs="Times New Roman"/>
          <w:sz w:val="21"/>
          <w:szCs w:val="21"/>
        </w:rPr>
        <w:t>L</w:t>
      </w:r>
      <w:r>
        <w:rPr>
          <w:rFonts w:ascii="Times New Roman" w:hAnsi="Times New Roman" w:cs="Times New Roman"/>
          <w:sz w:val="21"/>
          <w:szCs w:val="21"/>
        </w:rPr>
        <w:t>aboratory Tibet minipigs</w:t>
      </w:r>
    </w:p>
    <w:p>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西藏小型猪生长速度慢，耐粗饲，体型匀称，抗病性和抗逆性好，手术耐受性强，是较为理想的实验用小型猪种。</w:t>
      </w:r>
      <w:r>
        <w:rPr>
          <w:rFonts w:hint="eastAsia" w:ascii="宋体" w:hAnsi="宋体" w:eastAsia="宋体" w:cs="宋体"/>
          <w:sz w:val="24"/>
          <w:szCs w:val="24"/>
          <w:highlight w:val="none"/>
          <w:lang w:val="en-US" w:eastAsia="zh-CN"/>
        </w:rPr>
        <w:t>但由于</w:t>
      </w:r>
      <w:r>
        <w:rPr>
          <w:rFonts w:hint="eastAsia" w:ascii="宋体" w:hAnsi="宋体" w:eastAsia="宋体" w:cs="宋体"/>
          <w:sz w:val="24"/>
          <w:szCs w:val="24"/>
          <w:highlight w:val="none"/>
          <w:lang w:eastAsia="zh-CN"/>
        </w:rPr>
        <w:t>西藏小型猪全身被毛和皮肤均为黑色，有时会影响了某些实验操作和观察，如皮肤颜色太深使得耳缘静脉不清晰，难以顺利进针，不易于进行耳缘静脉给药。此外，也不利于对皮肤充血、淤血、出血、炎症、红肿、过敏等症状的观察。</w:t>
      </w:r>
      <w:r>
        <w:rPr>
          <w:rFonts w:hint="eastAsia" w:ascii="宋体" w:hAnsi="宋体" w:eastAsia="宋体" w:cs="宋体"/>
          <w:sz w:val="24"/>
          <w:szCs w:val="24"/>
          <w:highlight w:val="none"/>
          <w:lang w:val="en-US" w:eastAsia="zh-CN"/>
        </w:rPr>
        <w:t>白化品系实验动物，如BALB/c小鼠、SD大鼠、新西兰大白兔、白化豚鼠等，便于实验操作和观察，所以更容易受到研究者的喜爱，</w:t>
      </w:r>
      <w:r>
        <w:rPr>
          <w:rFonts w:hint="eastAsia" w:ascii="宋体" w:hAnsi="宋体" w:eastAsia="宋体" w:cs="宋体"/>
          <w:sz w:val="24"/>
          <w:szCs w:val="24"/>
          <w:highlight w:val="none"/>
          <w:lang w:eastAsia="zh-CN"/>
        </w:rPr>
        <w:t>白化品系实验动物更受研究者喜爱。</w:t>
      </w:r>
      <w:r>
        <w:rPr>
          <w:rFonts w:hint="eastAsia" w:ascii="宋体" w:hAnsi="宋体" w:eastAsia="宋体" w:cs="宋体"/>
          <w:sz w:val="24"/>
          <w:szCs w:val="24"/>
          <w:highlight w:val="none"/>
          <w:lang w:val="en-US" w:eastAsia="zh-CN"/>
        </w:rPr>
        <w:t>但</w:t>
      </w:r>
      <w:r>
        <w:rPr>
          <w:rFonts w:hint="eastAsia" w:ascii="宋体" w:hAnsi="宋体" w:eastAsia="宋体" w:cs="宋体"/>
          <w:sz w:val="24"/>
          <w:szCs w:val="24"/>
          <w:highlight w:val="none"/>
          <w:lang w:eastAsia="zh-CN"/>
        </w:rPr>
        <w:t>目前自然界中尚未发现天然白化的西藏小型猪品种。</w:t>
      </w:r>
    </w:p>
    <w:p>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动物的肤色、毛色和瞳色是由黑色素的合成和分布决定的。皮肤的黑色素细胞起源于神经嵴，而眼睛的视网膜色素上皮 （RPE） 起源于视杯</w:t>
      </w:r>
      <w:r>
        <w:rPr>
          <w:rFonts w:hint="eastAsia" w:ascii="宋体" w:hAnsi="宋体" w:eastAsia="宋体" w:cs="宋体"/>
          <w:sz w:val="24"/>
          <w:szCs w:val="24"/>
          <w:highlight w:val="none"/>
          <w:vertAlign w:val="superscript"/>
          <w:lang w:val="en-US" w:eastAsia="zh-CN"/>
        </w:rPr>
        <w:t>[7]</w:t>
      </w:r>
      <w:r>
        <w:rPr>
          <w:rFonts w:hint="eastAsia" w:ascii="宋体" w:hAnsi="宋体" w:eastAsia="宋体" w:cs="宋体"/>
          <w:sz w:val="24"/>
          <w:szCs w:val="24"/>
          <w:highlight w:val="none"/>
          <w:lang w:val="en-US" w:eastAsia="zh-CN"/>
        </w:rPr>
        <w:t>。黑色素有两种，包括真黑素和褐黑素，可按一定比例混合（图2）。混合黑色素中，真黑素比例越高，就越呈黑色；而褐黑素比例越高，就越呈红色。酪氨酸酶基因（tyrosinase gene，</w:t>
      </w:r>
      <w:r>
        <w:rPr>
          <w:rFonts w:hint="eastAsia" w:ascii="宋体" w:hAnsi="宋体" w:eastAsia="宋体" w:cs="宋体"/>
          <w:i/>
          <w:iCs/>
          <w:sz w:val="24"/>
          <w:szCs w:val="24"/>
          <w:highlight w:val="none"/>
          <w:lang w:val="en-US" w:eastAsia="zh-CN"/>
        </w:rPr>
        <w:t>TYR</w:t>
      </w:r>
      <w:r>
        <w:rPr>
          <w:rFonts w:hint="eastAsia" w:ascii="宋体" w:hAnsi="宋体" w:eastAsia="宋体" w:cs="宋体"/>
          <w:sz w:val="24"/>
          <w:szCs w:val="24"/>
          <w:highlight w:val="none"/>
          <w:lang w:val="en-US" w:eastAsia="zh-CN"/>
        </w:rPr>
        <w:t>）所表达的酪氨酸酶是黑色素合成的关键酶（图2），是一种触发黑色素生物合成的第一步和限速步骤的酶</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ADDIN NE.Ref.{EE85DA2D-EFC8-4CC8-A8BA-877F9305887B}</w:instrText>
      </w:r>
      <w:r>
        <w:rPr>
          <w:rFonts w:hint="eastAsia" w:ascii="宋体" w:hAnsi="宋体" w:eastAsia="宋体" w:cs="宋体"/>
          <w:sz w:val="24"/>
          <w:szCs w:val="24"/>
          <w:highlight w:val="none"/>
          <w:lang w:val="en-US" w:eastAsia="zh-CN"/>
        </w:rPr>
        <w:fldChar w:fldCharType="separate"/>
      </w:r>
      <w:r>
        <w:rPr>
          <w:rFonts w:hint="eastAsia" w:ascii="等线" w:hAnsi="等线" w:eastAsia="等线"/>
          <w:color w:val="080000"/>
          <w:sz w:val="21"/>
          <w:vertAlign w:val="superscript"/>
        </w:rPr>
        <w:t>[</w:t>
      </w:r>
      <w:r>
        <w:rPr>
          <w:rFonts w:hint="eastAsia" w:ascii="等线" w:hAnsi="等线" w:eastAsia="等线"/>
          <w:color w:val="080000"/>
          <w:sz w:val="21"/>
          <w:vertAlign w:val="superscript"/>
          <w:lang w:val="en-US" w:eastAsia="zh-CN"/>
        </w:rPr>
        <w:t>8,9</w:t>
      </w:r>
      <w:r>
        <w:rPr>
          <w:rFonts w:hint="eastAsia" w:ascii="等线" w:hAnsi="等线" w:eastAsia="等线"/>
          <w:color w:val="080000"/>
          <w:sz w:val="21"/>
          <w:vertAlign w:val="superscript"/>
        </w:rPr>
        <w:t>]</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。皮肤中的黑色素细胞主要分布于表皮基底层和毛囊。皮肤黑色素可吸收紫外辐射，防止皮肤细胞受到紫外照射损伤。眼皮肤白化病（oculocutaneous albinism，OCA）是一组遗传性黑色素合成障碍疾病，其特征是</w:t>
      </w:r>
      <w:r>
        <w:rPr>
          <w:rFonts w:hint="default" w:ascii="Cambria" w:hAnsi="Cambria" w:eastAsia="Cambria" w:cs="Cambria"/>
          <w:i w:val="0"/>
          <w:iCs w:val="0"/>
          <w:caps w:val="0"/>
          <w:color w:val="212121"/>
          <w:spacing w:val="0"/>
          <w:sz w:val="20"/>
          <w:szCs w:val="20"/>
          <w:shd w:val="clear" w:fill="FFFFFF"/>
        </w:rPr>
        <w:t>皮肤/头发中部分或完全没有色素，也与常见的发育性眼缺陷有关</w:t>
      </w:r>
      <w:r>
        <w:rPr>
          <w:rFonts w:hint="eastAsia" w:ascii="宋体" w:hAnsi="宋体" w:eastAsia="宋体" w:cs="宋体"/>
          <w:sz w:val="24"/>
          <w:szCs w:val="24"/>
          <w:highlight w:val="none"/>
          <w:vertAlign w:val="superscript"/>
          <w:lang w:val="en-US" w:eastAsia="zh-CN"/>
        </w:rPr>
        <w:t>[10]</w:t>
      </w:r>
      <w:r>
        <w:rPr>
          <w:rFonts w:hint="eastAsia" w:ascii="宋体" w:hAnsi="宋体" w:eastAsia="宋体" w:cs="宋体"/>
          <w:sz w:val="24"/>
          <w:szCs w:val="24"/>
          <w:highlight w:val="none"/>
          <w:lang w:val="en-US" w:eastAsia="zh-CN"/>
        </w:rPr>
        <w:t>。全世界各种形式的白化病的患病率差异很大，据估计约为1/17000</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ADDIN NE.Ref.{A25F422B-1149-45C0-890F-DCC1C9A5688B}</w:instrText>
      </w:r>
      <w:r>
        <w:rPr>
          <w:rFonts w:hint="eastAsia" w:ascii="宋体" w:hAnsi="宋体" w:eastAsia="宋体" w:cs="宋体"/>
          <w:sz w:val="24"/>
          <w:szCs w:val="24"/>
          <w:highlight w:val="none"/>
          <w:lang w:val="en-US" w:eastAsia="zh-CN"/>
        </w:rPr>
        <w:fldChar w:fldCharType="separate"/>
      </w:r>
      <w:r>
        <w:rPr>
          <w:rFonts w:hint="eastAsia" w:ascii="宋体" w:hAnsi="宋体"/>
          <w:color w:val="080000"/>
          <w:sz w:val="24"/>
          <w:vertAlign w:val="superscript"/>
        </w:rPr>
        <w:t>[</w:t>
      </w:r>
      <w:r>
        <w:rPr>
          <w:rFonts w:hint="eastAsia" w:ascii="宋体" w:hAnsi="宋体"/>
          <w:color w:val="080000"/>
          <w:sz w:val="24"/>
          <w:vertAlign w:val="superscript"/>
          <w:lang w:val="en-US" w:eastAsia="zh-CN"/>
        </w:rPr>
        <w:t>11</w:t>
      </w:r>
      <w:r>
        <w:rPr>
          <w:rFonts w:hint="eastAsia" w:ascii="宋体" w:hAnsi="宋体"/>
          <w:color w:val="080000"/>
          <w:sz w:val="24"/>
          <w:vertAlign w:val="superscript"/>
        </w:rPr>
        <w:t>]</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。OCA临床上有不同分类，OCA1是最严重最常见的类型，由TYR基因的双等位基因突变引起，全球患病率估计为1：40000</w:t>
      </w:r>
      <w:r>
        <w:rPr>
          <w:rFonts w:hint="eastAsia" w:ascii="宋体" w:hAnsi="宋体" w:eastAsia="宋体" w:cs="宋体"/>
          <w:sz w:val="24"/>
          <w:szCs w:val="24"/>
          <w:highlight w:val="none"/>
          <w:vertAlign w:val="superscript"/>
          <w:lang w:val="en-US" w:eastAsia="zh-CN"/>
        </w:rPr>
        <w:t>[12]</w:t>
      </w:r>
      <w:r>
        <w:rPr>
          <w:rFonts w:hint="eastAsia" w:ascii="宋体" w:hAnsi="宋体" w:eastAsia="宋体" w:cs="宋体"/>
          <w:sz w:val="24"/>
          <w:szCs w:val="24"/>
          <w:highlight w:val="none"/>
          <w:lang w:val="en-US" w:eastAsia="zh-CN"/>
        </w:rPr>
        <w:t>。根据突变的严重程度，OCA1 进一步分为两种亚型，OCA1A 和 OCA1B。OCA1A 是最严重的 OCA1 类型，由于酪氨酸酶 （Tyr） 活性的丧失，导致黑色素生成完全缺乏。OCA1A患者终生无色素沉着，表现为白发和睫毛、皮肤苍白和半透明虹膜</w:t>
      </w:r>
      <w:r>
        <w:rPr>
          <w:rFonts w:hint="eastAsia" w:ascii="宋体" w:hAnsi="宋体" w:eastAsia="宋体" w:cs="宋体"/>
          <w:sz w:val="24"/>
          <w:szCs w:val="24"/>
          <w:highlight w:val="none"/>
          <w:vertAlign w:val="superscript"/>
          <w:lang w:val="en-US" w:eastAsia="zh-CN"/>
        </w:rPr>
        <w:t>[13]</w:t>
      </w:r>
      <w:r>
        <w:rPr>
          <w:rFonts w:hint="eastAsia" w:ascii="宋体" w:hAnsi="宋体" w:eastAsia="宋体" w:cs="宋体"/>
          <w:sz w:val="24"/>
          <w:szCs w:val="24"/>
          <w:highlight w:val="none"/>
          <w:lang w:val="en-US" w:eastAsia="zh-CN"/>
        </w:rPr>
        <w:t>。与OCA1A不同，与未受影响的人相比，OCA1B的特点是Tyr活性和黑色素产生减少。OCA1B患者的皮肤和头发色素减退，具有晒黑的能力，随着年龄的增长积累黑色素。然而，OCA1的两种亚型都有共同的特征，包括眼球震颤、中央凹发育不全伴视力下降以及视交叉处神经节细胞轴突异常脱落。其中，中央凹发育不全和视网膜到视皮层的光感神经纤维走行异常</w:t>
      </w:r>
      <w:r>
        <w:rPr>
          <w:rFonts w:hint="eastAsia" w:ascii="宋体" w:hAnsi="宋体" w:eastAsia="宋体" w:cs="宋体"/>
          <w:sz w:val="24"/>
          <w:szCs w:val="24"/>
          <w:highlight w:val="none"/>
          <w:lang w:val="en-US" w:eastAsia="zh-CN"/>
        </w:rPr>
        <w:fldChar w:fldCharType="begin"/>
      </w:r>
      <w:r>
        <w:rPr>
          <w:rFonts w:hint="eastAsia" w:ascii="宋体" w:hAnsi="宋体" w:eastAsia="宋体" w:cs="宋体"/>
          <w:sz w:val="24"/>
          <w:szCs w:val="24"/>
          <w:highlight w:val="none"/>
          <w:lang w:val="en-US" w:eastAsia="zh-CN"/>
        </w:rPr>
        <w:instrText xml:space="preserve"> ADDIN NE.Ref.{8492C15F-C75F-4349-AD87-26BC2293B073}</w:instrText>
      </w:r>
      <w:r>
        <w:rPr>
          <w:rFonts w:hint="eastAsia" w:ascii="宋体" w:hAnsi="宋体" w:eastAsia="宋体" w:cs="宋体"/>
          <w:sz w:val="24"/>
          <w:szCs w:val="24"/>
          <w:highlight w:val="none"/>
          <w:lang w:val="en-US" w:eastAsia="zh-CN"/>
        </w:rPr>
        <w:fldChar w:fldCharType="separate"/>
      </w:r>
      <w:r>
        <w:rPr>
          <w:rFonts w:hint="eastAsia" w:ascii="等线" w:hAnsi="等线" w:eastAsia="等线"/>
          <w:color w:val="080000"/>
          <w:sz w:val="21"/>
          <w:vertAlign w:val="superscript"/>
        </w:rPr>
        <w:t>[1</w:t>
      </w:r>
      <w:r>
        <w:rPr>
          <w:rFonts w:hint="eastAsia" w:ascii="等线" w:hAnsi="等线" w:eastAsia="等线"/>
          <w:color w:val="080000"/>
          <w:sz w:val="21"/>
          <w:vertAlign w:val="superscript"/>
          <w:lang w:val="en-US" w:eastAsia="zh-CN"/>
        </w:rPr>
        <w:t>4</w:t>
      </w:r>
      <w:r>
        <w:rPr>
          <w:rFonts w:hint="eastAsia" w:ascii="等线" w:hAnsi="等线" w:eastAsia="等线"/>
          <w:color w:val="080000"/>
          <w:sz w:val="21"/>
          <w:vertAlign w:val="superscript"/>
        </w:rPr>
        <w:t>]</w:t>
      </w:r>
      <w:r>
        <w:rPr>
          <w:rFonts w:hint="eastAsia" w:ascii="宋体" w:hAnsi="宋体" w:eastAsia="宋体" w:cs="宋体"/>
          <w:sz w:val="24"/>
          <w:szCs w:val="24"/>
          <w:highlight w:val="none"/>
          <w:lang w:val="en-US" w:eastAsia="zh-CN"/>
        </w:rPr>
        <w:fldChar w:fldCharType="end"/>
      </w:r>
      <w:r>
        <w:rPr>
          <w:rFonts w:hint="eastAsia" w:ascii="宋体" w:hAnsi="宋体" w:eastAsia="宋体" w:cs="宋体"/>
          <w:sz w:val="24"/>
          <w:szCs w:val="24"/>
          <w:highlight w:val="none"/>
          <w:lang w:val="en-US" w:eastAsia="zh-CN"/>
        </w:rPr>
        <w:t>，可导致斜视和降低立体视觉。佩戴深色眼镜能减轻眼畏光症状。但OCA患者有正常的寿命、发育、智力和生育能力。</w:t>
      </w:r>
    </w:p>
    <w:p>
      <w:pPr>
        <w:spacing w:line="360" w:lineRule="auto"/>
        <w:ind w:firstLine="480" w:firstLineChars="200"/>
        <w:rPr>
          <w:rFonts w:hint="default" w:ascii="Times New Roman" w:hAnsi="Times New Roman" w:cs="Times New Roman"/>
        </w:rPr>
      </w:pPr>
      <w:r>
        <w:rPr>
          <w:rFonts w:hint="default" w:ascii="Times New Roman" w:hAnsi="Times New Roman" w:cs="Times New Roman"/>
        </w:rPr>
        <w:drawing>
          <wp:inline distT="0" distB="0" distL="114300" distR="114300">
            <wp:extent cx="4257675" cy="2981960"/>
            <wp:effectExtent l="0" t="0" r="9525" b="2540"/>
            <wp:docPr id="21" name="图片 21" descr="黑色素生物合成和黑色素抑制剂-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黑色素生物合成和黑色素抑制剂-01"/>
                    <pic:cNvPicPr>
                      <a:picLocks noChangeAspect="1"/>
                    </pic:cNvPicPr>
                  </pic:nvPicPr>
                  <pic:blipFill>
                    <a:blip r:embed="rId5"/>
                    <a:stretch>
                      <a:fillRect/>
                    </a:stretch>
                  </pic:blipFill>
                  <pic:spPr>
                    <a:xfrm>
                      <a:off x="0" y="0"/>
                      <a:ext cx="4257675" cy="2981960"/>
                    </a:xfrm>
                    <a:prstGeom prst="rect">
                      <a:avLst/>
                    </a:prstGeom>
                  </pic:spPr>
                </pic:pic>
              </a:graphicData>
            </a:graphic>
          </wp:inline>
        </w:drawing>
      </w:r>
    </w:p>
    <w:p>
      <w:pPr>
        <w:adjustRightInd w:val="0"/>
        <w:snapToGrid w:val="0"/>
        <w:spacing w:line="360" w:lineRule="auto"/>
        <w:ind w:firstLine="420" w:firstLineChars="200"/>
        <w:jc w:val="center"/>
        <w:rPr>
          <w:rFonts w:ascii="Times New Roman" w:hAnsi="Times New Roman" w:eastAsia="宋体" w:cs="Times New Roman"/>
          <w:sz w:val="24"/>
        </w:rPr>
      </w:pPr>
      <w:r>
        <w:rPr>
          <w:rFonts w:hint="default" w:ascii="Times New Roman" w:hAnsi="Times New Roman" w:eastAsia="宋体" w:cs="Times New Roman"/>
          <w:color w:val="000000"/>
          <w:sz w:val="21"/>
          <w:szCs w:val="21"/>
        </w:rPr>
        <w:t>图</w:t>
      </w:r>
      <w:r>
        <w:rPr>
          <w:rFonts w:hint="eastAsia" w:ascii="Times New Roman" w:hAnsi="Times New Roman" w:eastAsia="宋体" w:cs="Times New Roman"/>
          <w:color w:val="000000"/>
          <w:sz w:val="21"/>
          <w:szCs w:val="21"/>
          <w:lang w:val="en-US" w:eastAsia="zh-CN"/>
        </w:rPr>
        <w:t>2</w:t>
      </w:r>
      <w:r>
        <w:rPr>
          <w:rFonts w:hint="default" w:ascii="Times New Roman" w:hAnsi="Times New Roman" w:eastAsia="宋体" w:cs="Times New Roman"/>
          <w:color w:val="000000"/>
          <w:sz w:val="21"/>
          <w:szCs w:val="21"/>
        </w:rPr>
        <w:t xml:space="preserve">  黑色素的合成</w:t>
      </w:r>
    </w:p>
    <w:p>
      <w:pPr>
        <w:adjustRightInd w:val="0"/>
        <w:snapToGrid w:val="0"/>
        <w:spacing w:line="360" w:lineRule="auto"/>
        <w:rPr>
          <w:rFonts w:ascii="Times New Roman" w:hAnsi="Times New Roman" w:eastAsia="宋体" w:cs="Times New Roman"/>
          <w:sz w:val="21"/>
          <w:szCs w:val="21"/>
        </w:rPr>
      </w:pPr>
      <w:r>
        <w:rPr>
          <w:rFonts w:hint="default" w:ascii="Times New Roman" w:hAnsi="Times New Roman" w:eastAsia="宋体" w:cs="Times New Roman"/>
          <w:sz w:val="21"/>
          <w:szCs w:val="21"/>
        </w:rPr>
        <w:t>此图引自</w:t>
      </w:r>
      <w:r>
        <w:rPr>
          <w:rFonts w:hint="eastAsia" w:ascii="Times New Roman" w:hAnsi="Times New Roman" w:eastAsia="宋体" w:cs="Times New Roman"/>
          <w:color w:val="000000"/>
          <w:sz w:val="21"/>
          <w:szCs w:val="21"/>
        </w:rPr>
        <w:t>刘圆圆</w:t>
      </w:r>
      <w:r>
        <w:rPr>
          <w:rFonts w:hint="default" w:ascii="Times New Roman" w:hAnsi="Times New Roman" w:eastAsia="宋体" w:cs="Times New Roman"/>
          <w:sz w:val="21"/>
          <w:szCs w:val="21"/>
        </w:rPr>
        <w:t>等人的文章</w:t>
      </w:r>
      <w:r>
        <w:rPr>
          <w:rFonts w:hint="default" w:ascii="Times New Roman" w:hAnsi="Times New Roman" w:eastAsia="宋体" w:cs="Times New Roman"/>
          <w:sz w:val="21"/>
          <w:szCs w:val="21"/>
        </w:rPr>
        <w:fldChar w:fldCharType="begin"/>
      </w:r>
      <w:r>
        <w:rPr>
          <w:rFonts w:hint="eastAsia" w:ascii="Times New Roman" w:hAnsi="Times New Roman" w:eastAsia="宋体" w:cs="Times New Roman"/>
          <w:sz w:val="21"/>
          <w:szCs w:val="21"/>
          <w:lang w:eastAsia="zh-CN"/>
        </w:rPr>
        <w:instrText xml:space="preserve"> ADDIN NE.Ref.{D0EA6802-C1E3-4B65-9876-3F79A708F7B2}</w:instrText>
      </w:r>
      <w:r>
        <w:rPr>
          <w:rFonts w:hint="default" w:ascii="Times New Roman" w:hAnsi="Times New Roman" w:eastAsia="宋体" w:cs="Times New Roman"/>
          <w:sz w:val="21"/>
          <w:szCs w:val="21"/>
        </w:rPr>
        <w:fldChar w:fldCharType="separate"/>
      </w:r>
      <w:r>
        <w:rPr>
          <w:rFonts w:hint="eastAsia" w:ascii="等线" w:hAnsi="等线" w:eastAsia="等线"/>
          <w:color w:val="080000"/>
          <w:sz w:val="21"/>
          <w:vertAlign w:val="superscript"/>
        </w:rPr>
        <w:t>[1</w:t>
      </w:r>
      <w:r>
        <w:rPr>
          <w:rFonts w:hint="eastAsia" w:ascii="等线" w:hAnsi="等线" w:eastAsia="等线"/>
          <w:color w:val="080000"/>
          <w:sz w:val="21"/>
          <w:vertAlign w:val="superscript"/>
          <w:lang w:val="en-US" w:eastAsia="zh-CN"/>
        </w:rPr>
        <w:t>5</w:t>
      </w:r>
      <w:r>
        <w:rPr>
          <w:rFonts w:hint="eastAsia" w:ascii="等线" w:hAnsi="等线" w:eastAsia="等线"/>
          <w:color w:val="080000"/>
          <w:sz w:val="21"/>
          <w:vertAlign w:val="superscript"/>
        </w:rPr>
        <w:t>]</w:t>
      </w:r>
      <w:r>
        <w:rPr>
          <w:rFonts w:hint="default" w:ascii="Times New Roman" w:hAnsi="Times New Roman" w:eastAsia="宋体" w:cs="Times New Roman"/>
          <w:sz w:val="21"/>
          <w:szCs w:val="21"/>
        </w:rPr>
        <w:fldChar w:fldCharType="end"/>
      </w:r>
      <w:r>
        <w:rPr>
          <w:rFonts w:hint="default" w:ascii="Times New Roman" w:hAnsi="Times New Roman" w:eastAsia="宋体" w:cs="Times New Roman"/>
          <w:sz w:val="21"/>
          <w:szCs w:val="21"/>
        </w:rPr>
        <w:t>。PAH，苯丙氨酸羟化酶；TYR，酪氨酸酶；TRP，酪氨酸酶相关蛋白。黑色素有两种，包括真黑素和褐黑素。</w:t>
      </w:r>
    </w:p>
    <w:p>
      <w:pPr>
        <w:adjustRightInd w:val="0"/>
        <w:snapToGrid w:val="0"/>
        <w:spacing w:line="360" w:lineRule="auto"/>
        <w:ind w:firstLine="420" w:firstLineChars="200"/>
        <w:jc w:val="center"/>
        <w:rPr>
          <w:rFonts w:ascii="Times New Roman" w:hAnsi="Times New Roman" w:eastAsia="宋体" w:cs="Times New Roman"/>
          <w:sz w:val="21"/>
          <w:szCs w:val="21"/>
        </w:rPr>
      </w:pPr>
      <w:r>
        <w:rPr>
          <w:rFonts w:ascii="Times New Roman" w:hAnsi="Times New Roman" w:eastAsia="宋体" w:cs="Times New Roman"/>
          <w:color w:val="000000"/>
          <w:sz w:val="21"/>
          <w:szCs w:val="21"/>
        </w:rPr>
        <w:t xml:space="preserve">Figure </w:t>
      </w:r>
      <w:r>
        <w:rPr>
          <w:rFonts w:hint="eastAsia" w:ascii="Times New Roman" w:hAnsi="Times New Roman" w:eastAsia="宋体" w:cs="Times New Roman"/>
          <w:color w:val="000000"/>
          <w:sz w:val="21"/>
          <w:szCs w:val="21"/>
          <w:lang w:val="en-US" w:eastAsia="zh-CN"/>
        </w:rPr>
        <w:t>2</w:t>
      </w:r>
      <w:r>
        <w:rPr>
          <w:rFonts w:ascii="Times New Roman" w:hAnsi="Times New Roman" w:eastAsia="宋体" w:cs="Times New Roman"/>
          <w:color w:val="000000"/>
          <w:sz w:val="21"/>
          <w:szCs w:val="21"/>
        </w:rPr>
        <w:t xml:space="preserve">  Synthesis of melanin</w:t>
      </w:r>
      <w:r>
        <w:rPr>
          <w:rFonts w:hint="eastAsia" w:ascii="Times New Roman" w:hAnsi="Times New Roman" w:eastAsia="宋体" w:cs="Times New Roman"/>
          <w:color w:val="000000"/>
          <w:sz w:val="21"/>
          <w:szCs w:val="21"/>
        </w:rPr>
        <w:t>s</w:t>
      </w:r>
    </w:p>
    <w:p>
      <w:pPr>
        <w:adjustRightInd w:val="0"/>
        <w:snapToGrid w:val="0"/>
        <w:spacing w:line="360" w:lineRule="auto"/>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This figure is quoted from the article of </w:t>
      </w:r>
      <w:bookmarkStart w:id="0" w:name="OLE_LINK23"/>
      <w:r>
        <w:rPr>
          <w:rFonts w:hint="eastAsia" w:ascii="Times New Roman" w:hAnsi="Times New Roman" w:eastAsia="宋体" w:cs="Times New Roman"/>
          <w:color w:val="000000"/>
          <w:sz w:val="21"/>
          <w:szCs w:val="21"/>
        </w:rPr>
        <w:t xml:space="preserve">Yuanyuan </w:t>
      </w:r>
      <w:r>
        <w:rPr>
          <w:rFonts w:ascii="Times New Roman" w:hAnsi="Times New Roman" w:eastAsia="宋体" w:cs="Times New Roman"/>
          <w:color w:val="000000"/>
          <w:sz w:val="21"/>
          <w:szCs w:val="21"/>
        </w:rPr>
        <w:t>Liu</w:t>
      </w:r>
      <w:bookmarkEnd w:id="0"/>
      <w:r>
        <w:rPr>
          <w:rFonts w:ascii="Times New Roman" w:hAnsi="Times New Roman" w:eastAsia="宋体" w:cs="Times New Roman"/>
          <w:color w:val="000000"/>
          <w:sz w:val="21"/>
          <w:szCs w:val="21"/>
        </w:rPr>
        <w:t xml:space="preserve"> et al</w:t>
      </w:r>
      <w:r>
        <w:rPr>
          <w:rFonts w:ascii="Times New Roman" w:hAnsi="Times New Roman" w:eastAsia="宋体" w:cs="Times New Roman"/>
          <w:color w:val="000000"/>
          <w:sz w:val="21"/>
          <w:szCs w:val="21"/>
        </w:rPr>
        <w:fldChar w:fldCharType="begin"/>
      </w:r>
      <w:r>
        <w:rPr>
          <w:rFonts w:hint="eastAsia" w:ascii="Times New Roman" w:hAnsi="Times New Roman" w:eastAsia="宋体" w:cs="Times New Roman"/>
          <w:color w:val="000000"/>
          <w:sz w:val="21"/>
          <w:szCs w:val="21"/>
          <w:lang w:eastAsia="zh-CN"/>
        </w:rPr>
        <w:instrText xml:space="preserve"> ADDIN NE.Ref.{AF018994-9A11-42ED-A8D3-8588D4ACA572}</w:instrText>
      </w:r>
      <w:r>
        <w:rPr>
          <w:rFonts w:ascii="Times New Roman" w:hAnsi="Times New Roman" w:eastAsia="宋体" w:cs="Times New Roman"/>
          <w:color w:val="000000"/>
          <w:sz w:val="21"/>
          <w:szCs w:val="21"/>
        </w:rPr>
        <w:fldChar w:fldCharType="separate"/>
      </w:r>
      <w:r>
        <w:rPr>
          <w:rFonts w:hint="eastAsia" w:ascii="等线" w:hAnsi="等线" w:eastAsia="等线"/>
          <w:color w:val="080000"/>
          <w:sz w:val="21"/>
          <w:vertAlign w:val="superscript"/>
        </w:rPr>
        <w:t>[1</w:t>
      </w:r>
      <w:r>
        <w:rPr>
          <w:rFonts w:hint="eastAsia" w:ascii="等线" w:hAnsi="等线" w:eastAsia="等线"/>
          <w:color w:val="080000"/>
          <w:sz w:val="21"/>
          <w:vertAlign w:val="superscript"/>
          <w:lang w:val="en-US" w:eastAsia="zh-CN"/>
        </w:rPr>
        <w:t>5</w:t>
      </w:r>
      <w:r>
        <w:rPr>
          <w:rFonts w:hint="eastAsia" w:ascii="等线" w:hAnsi="等线" w:eastAsia="等线"/>
          <w:color w:val="080000"/>
          <w:sz w:val="21"/>
          <w:vertAlign w:val="superscript"/>
        </w:rPr>
        <w:t>]</w:t>
      </w:r>
      <w:r>
        <w:rPr>
          <w:rFonts w:ascii="Times New Roman" w:hAnsi="Times New Roman" w:eastAsia="宋体" w:cs="Times New Roman"/>
          <w:color w:val="000000"/>
          <w:sz w:val="21"/>
          <w:szCs w:val="21"/>
        </w:rPr>
        <w:fldChar w:fldCharType="end"/>
      </w:r>
      <w:r>
        <w:rPr>
          <w:rFonts w:ascii="Times New Roman" w:hAnsi="Times New Roman" w:eastAsia="宋体" w:cs="Times New Roman"/>
          <w:color w:val="000000"/>
          <w:sz w:val="21"/>
          <w:szCs w:val="21"/>
        </w:rPr>
        <w:t>. PAH, phenylalanine hydroxylase; TYR, tyrosinase; TRP, tyrosinase related protein. There are two kinds of melanin, including eumelanin and pheomelanin.</w:t>
      </w:r>
    </w:p>
    <w:p>
      <w:pPr>
        <w:spacing w:line="360" w:lineRule="auto"/>
        <w:ind w:firstLine="480" w:firstLineChars="200"/>
        <w:rPr>
          <w:rFonts w:hint="eastAsia"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本模型目的为了更好提高西藏小型猪品种在科研实验和医疗行业中的利用率，我们采</w:t>
      </w:r>
      <w:r>
        <w:rPr>
          <w:rFonts w:hint="eastAsia" w:ascii="宋体" w:hAnsi="宋体" w:eastAsia="宋体" w:cs="宋体"/>
          <w:sz w:val="24"/>
          <w:szCs w:val="24"/>
          <w:highlight w:val="none"/>
          <w:lang w:val="en-US" w:eastAsia="zh-CN"/>
        </w:rPr>
        <w:t>用CRISPR/Cas9基因编辑技术受精卵胞质内注射法定向培育了</w:t>
      </w:r>
      <w:r>
        <w:rPr>
          <w:rFonts w:hint="eastAsia" w:ascii="宋体" w:hAnsi="宋体" w:eastAsia="宋体" w:cs="宋体"/>
          <w:sz w:val="24"/>
          <w:szCs w:val="24"/>
          <w:lang w:val="en-US" w:eastAsia="zh-CN"/>
        </w:rPr>
        <w:t>酪氨酸酶基因敲除白化西藏小型猪，使其在更</w:t>
      </w:r>
      <w:r>
        <w:rPr>
          <w:rFonts w:hint="eastAsia" w:ascii="宋体" w:hAnsi="宋体" w:eastAsia="宋体" w:cs="宋体"/>
          <w:sz w:val="24"/>
          <w:szCs w:val="24"/>
          <w:highlight w:val="none"/>
          <w:lang w:eastAsia="zh-CN"/>
        </w:rPr>
        <w:t>易于</w:t>
      </w:r>
      <w:r>
        <w:rPr>
          <w:rFonts w:hint="eastAsia" w:ascii="宋体" w:hAnsi="宋体" w:eastAsia="宋体" w:cs="宋体"/>
          <w:sz w:val="24"/>
          <w:szCs w:val="24"/>
          <w:highlight w:val="none"/>
          <w:lang w:val="en-US" w:eastAsia="zh-CN"/>
        </w:rPr>
        <w:t>实验</w:t>
      </w:r>
      <w:r>
        <w:rPr>
          <w:rFonts w:hint="eastAsia" w:ascii="宋体" w:hAnsi="宋体" w:eastAsia="宋体" w:cs="宋体"/>
          <w:sz w:val="24"/>
          <w:szCs w:val="24"/>
          <w:highlight w:val="none"/>
          <w:lang w:eastAsia="zh-CN"/>
        </w:rPr>
        <w:t>观察和实验操作，</w:t>
      </w:r>
      <w:r>
        <w:rPr>
          <w:rFonts w:hint="eastAsia" w:ascii="宋体" w:hAnsi="宋体" w:eastAsia="宋体" w:cs="宋体"/>
          <w:sz w:val="24"/>
          <w:szCs w:val="24"/>
          <w:highlight w:val="none"/>
          <w:lang w:val="en-US" w:eastAsia="zh-CN"/>
        </w:rPr>
        <w:t>能</w:t>
      </w:r>
      <w:r>
        <w:rPr>
          <w:rFonts w:hint="eastAsia" w:ascii="宋体" w:hAnsi="宋体" w:eastAsia="宋体" w:cs="宋体"/>
          <w:sz w:val="24"/>
          <w:szCs w:val="24"/>
          <w:highlight w:val="none"/>
          <w:lang w:eastAsia="zh-CN"/>
        </w:rPr>
        <w:t>得到更广泛的应用</w:t>
      </w:r>
      <w:r>
        <w:rPr>
          <w:rFonts w:hint="eastAsia" w:ascii="宋体" w:hAnsi="宋体" w:eastAsia="宋体" w:cs="宋体"/>
          <w:sz w:val="24"/>
          <w:szCs w:val="24"/>
          <w:lang w:val="en-US" w:eastAsia="zh-CN"/>
        </w:rPr>
        <w:t>。</w:t>
      </w:r>
      <w:r>
        <w:rPr>
          <w:rFonts w:hint="eastAsia" w:ascii="宋体" w:hAnsi="宋体" w:eastAsia="宋体" w:cs="宋体"/>
          <w:sz w:val="24"/>
          <w:szCs w:val="24"/>
        </w:rPr>
        <w:t>白化西藏小型猪全身皮肤和</w:t>
      </w:r>
      <w:r>
        <w:rPr>
          <w:rFonts w:hint="eastAsia" w:ascii="宋体" w:hAnsi="宋体" w:eastAsia="宋体" w:cs="宋体"/>
          <w:sz w:val="24"/>
          <w:szCs w:val="24"/>
          <w:lang w:eastAsia="zh-CN"/>
        </w:rPr>
        <w:t>被毛</w:t>
      </w:r>
      <w:r>
        <w:rPr>
          <w:rFonts w:hint="eastAsia" w:ascii="宋体" w:hAnsi="宋体" w:eastAsia="宋体" w:cs="宋体"/>
          <w:sz w:val="24"/>
          <w:szCs w:val="24"/>
        </w:rPr>
        <w:t>均呈白色，眼睛因缺乏黑色素而呈红色，呈典型的白化表型</w:t>
      </w:r>
      <w:r>
        <w:rPr>
          <w:rFonts w:hint="eastAsia" w:ascii="宋体" w:hAnsi="宋体" w:eastAsia="宋体" w:cs="宋体"/>
          <w:sz w:val="24"/>
          <w:szCs w:val="24"/>
          <w:lang w:eastAsia="zh-CN"/>
        </w:rPr>
        <w:t>，对于研究OCA疾病的发病机制和治疗具有重要意义，有效促进今后探索基因治疗和干细胞移植治疗在改善OCA疾病视力水平的研究</w:t>
      </w:r>
      <w:r>
        <w:rPr>
          <w:rFonts w:hint="eastAsia" w:ascii="宋体" w:hAnsi="宋体" w:eastAsia="宋体" w:cs="宋体"/>
          <w:sz w:val="24"/>
          <w:szCs w:val="24"/>
          <w:lang w:val="en-US" w:eastAsia="zh-CN"/>
        </w:rPr>
        <w:t>。同时</w:t>
      </w:r>
      <w:r>
        <w:rPr>
          <w:rFonts w:hint="eastAsia" w:ascii="宋体" w:hAnsi="宋体" w:eastAsia="宋体" w:cs="宋体"/>
          <w:sz w:val="24"/>
          <w:szCs w:val="24"/>
        </w:rPr>
        <w:t>白化西藏小型猪的皮肤更加清晰，有利于对皮肤红肿、出血、淤血、过敏、炎症、损伤等的观察，还便于在皮肤或</w:t>
      </w:r>
      <w:r>
        <w:rPr>
          <w:rFonts w:hint="eastAsia" w:ascii="宋体" w:hAnsi="宋体" w:eastAsia="宋体" w:cs="宋体"/>
          <w:sz w:val="24"/>
          <w:szCs w:val="24"/>
          <w:lang w:eastAsia="zh-CN"/>
        </w:rPr>
        <w:t>被毛</w:t>
      </w:r>
      <w:r>
        <w:rPr>
          <w:rFonts w:hint="eastAsia" w:ascii="宋体" w:hAnsi="宋体" w:eastAsia="宋体" w:cs="宋体"/>
          <w:sz w:val="24"/>
          <w:szCs w:val="24"/>
        </w:rPr>
        <w:t>上作清晰的标记。经统计白化西藏小型猪的体尺指标、繁殖性能、血液生理和生化指标等与普通西藏小型猪对应指标相比，</w:t>
      </w:r>
      <w:r>
        <w:rPr>
          <w:rFonts w:hint="eastAsia" w:ascii="宋体" w:hAnsi="宋体" w:eastAsia="宋体" w:cs="宋体"/>
          <w:sz w:val="24"/>
          <w:szCs w:val="24"/>
          <w:lang w:val="en-US" w:eastAsia="zh-CN"/>
        </w:rPr>
        <w:t>基本上</w:t>
      </w:r>
      <w:r>
        <w:rPr>
          <w:rFonts w:hint="eastAsia" w:ascii="宋体" w:hAnsi="宋体" w:eastAsia="宋体" w:cs="宋体"/>
          <w:sz w:val="24"/>
          <w:szCs w:val="24"/>
        </w:rPr>
        <w:t>无统计学显著性差异（</w:t>
      </w:r>
      <w:r>
        <w:rPr>
          <w:rFonts w:hint="eastAsia" w:ascii="宋体" w:hAnsi="宋体" w:eastAsia="宋体" w:cs="宋体"/>
          <w:i/>
          <w:iCs/>
          <w:sz w:val="24"/>
          <w:szCs w:val="24"/>
          <w:lang w:val="en-US" w:eastAsia="zh-CN"/>
        </w:rPr>
        <w:t xml:space="preserve">P </w:t>
      </w:r>
      <w:r>
        <w:rPr>
          <w:rFonts w:hint="eastAsia" w:ascii="宋体" w:hAnsi="宋体" w:eastAsia="宋体" w:cs="宋体"/>
          <w:sz w:val="24"/>
          <w:szCs w:val="24"/>
        </w:rPr>
        <w:t>&gt;0.05）</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适合进一步培育成实验小型猪新品系推广应用。</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p>
    <w:p>
      <w:pPr>
        <w:pStyle w:val="3"/>
        <w:numPr>
          <w:ilvl w:val="0"/>
          <w:numId w:val="0"/>
        </w:numPr>
        <w:bidi w:val="0"/>
        <w:rPr>
          <w:rFonts w:hint="eastAsia" w:ascii="宋体" w:hAnsi="宋体" w:eastAsia="宋体" w:cs="宋体"/>
          <w:sz w:val="24"/>
          <w:szCs w:val="24"/>
        </w:rPr>
      </w:pPr>
      <w:r>
        <w:rPr>
          <w:rFonts w:hint="eastAsia" w:ascii="宋体" w:hAnsi="宋体" w:eastAsia="宋体" w:cs="宋体"/>
          <w:b/>
          <w:bCs/>
          <w:kern w:val="2"/>
          <w:sz w:val="24"/>
          <w:szCs w:val="24"/>
          <w:lang w:val="en-US" w:eastAsia="zh-CN" w:bidi="ar-SA"/>
        </w:rPr>
        <w:t>三、</w:t>
      </w:r>
      <w:r>
        <w:rPr>
          <w:rFonts w:hint="eastAsia" w:ascii="宋体" w:hAnsi="宋体" w:eastAsia="宋体" w:cs="宋体"/>
          <w:sz w:val="24"/>
          <w:szCs w:val="24"/>
        </w:rPr>
        <w:t>动物模型的制备方法</w:t>
      </w:r>
    </w:p>
    <w:p>
      <w:pPr>
        <w:keepNext/>
        <w:keepLines/>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1"/>
        <w:rPr>
          <w:rFonts w:hint="eastAsia" w:ascii="宋体" w:hAnsi="宋体" w:eastAsia="宋体" w:cs="宋体"/>
          <w:b/>
          <w:bCs/>
          <w:kern w:val="2"/>
          <w:sz w:val="24"/>
          <w:szCs w:val="24"/>
          <w:lang w:val="en-US" w:eastAsia="zh-CN" w:bidi="ar-SA"/>
        </w:rPr>
      </w:pPr>
      <w:bookmarkStart w:id="1" w:name="_Toc30551"/>
      <w:bookmarkStart w:id="2" w:name="_Toc28906"/>
      <w:bookmarkStart w:id="3" w:name="_Toc24306"/>
      <w:bookmarkStart w:id="4" w:name="_Toc16094"/>
      <w:bookmarkStart w:id="5" w:name="_Toc5896"/>
      <w:bookmarkStart w:id="6" w:name="_Toc16287"/>
      <w:bookmarkStart w:id="7" w:name="_Toc17218"/>
      <w:bookmarkStart w:id="8" w:name="_Toc26950"/>
      <w:bookmarkStart w:id="9" w:name="_Toc32217"/>
      <w:bookmarkStart w:id="10" w:name="_Toc11979"/>
      <w:bookmarkStart w:id="11" w:name="_Toc20132"/>
      <w:bookmarkStart w:id="12" w:name="_Toc20256"/>
      <w:bookmarkStart w:id="13" w:name="_Toc19619"/>
      <w:bookmarkStart w:id="14" w:name="_Toc22975"/>
      <w:bookmarkStart w:id="15" w:name="_Toc4821"/>
      <w:bookmarkStart w:id="16" w:name="_Toc17115"/>
      <w:bookmarkStart w:id="17" w:name="_Toc19311"/>
      <w:bookmarkStart w:id="18" w:name="_Toc21855"/>
      <w:bookmarkStart w:id="19" w:name="_Toc7605"/>
      <w:bookmarkStart w:id="20" w:name="_Toc27472"/>
      <w:r>
        <w:rPr>
          <w:rFonts w:hint="eastAsia" w:ascii="宋体" w:hAnsi="宋体" w:eastAsia="宋体" w:cs="宋体"/>
          <w:b/>
          <w:bCs/>
          <w:kern w:val="2"/>
          <w:sz w:val="24"/>
          <w:szCs w:val="24"/>
          <w:lang w:val="en-US" w:eastAsia="zh-CN" w:bidi="ar-SA"/>
        </w:rPr>
        <w:t>3.1  实验材料</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2"/>
        <w:rPr>
          <w:rFonts w:hint="eastAsia" w:ascii="宋体" w:hAnsi="宋体" w:eastAsia="宋体" w:cs="宋体"/>
          <w:kern w:val="0"/>
          <w:sz w:val="24"/>
          <w:szCs w:val="24"/>
          <w:lang w:val="en-US" w:eastAsia="zh-CN" w:bidi="ar-SA"/>
        </w:rPr>
      </w:pPr>
      <w:bookmarkStart w:id="21" w:name="_Toc13318"/>
      <w:bookmarkStart w:id="22" w:name="_Toc28719"/>
      <w:bookmarkStart w:id="23" w:name="_Toc13610"/>
      <w:bookmarkStart w:id="24" w:name="_Toc15400"/>
      <w:bookmarkStart w:id="25" w:name="_Toc6639"/>
      <w:bookmarkStart w:id="26" w:name="_Toc25979"/>
      <w:bookmarkStart w:id="27" w:name="_Toc29981"/>
      <w:bookmarkStart w:id="28" w:name="_Toc7725"/>
      <w:bookmarkStart w:id="29" w:name="_Toc6534"/>
      <w:bookmarkStart w:id="30" w:name="_Toc23917"/>
      <w:bookmarkStart w:id="31" w:name="_Toc4637"/>
      <w:bookmarkStart w:id="32" w:name="_Toc9307"/>
      <w:bookmarkStart w:id="33" w:name="_Toc20267"/>
      <w:bookmarkStart w:id="34" w:name="_Toc885"/>
      <w:bookmarkStart w:id="35" w:name="_Toc6126"/>
      <w:bookmarkStart w:id="36" w:name="_Toc21408"/>
      <w:bookmarkStart w:id="37" w:name="_Toc14239"/>
      <w:bookmarkStart w:id="38" w:name="_Toc1160"/>
      <w:bookmarkStart w:id="39" w:name="_Toc21883"/>
      <w:bookmarkStart w:id="40" w:name="_Toc2092"/>
      <w:r>
        <w:rPr>
          <w:rFonts w:hint="eastAsia" w:ascii="宋体" w:hAnsi="宋体" w:eastAsia="宋体" w:cs="宋体"/>
          <w:kern w:val="0"/>
          <w:sz w:val="24"/>
          <w:szCs w:val="24"/>
          <w:lang w:val="en-US" w:eastAsia="zh-CN" w:bidi="ar-SA"/>
        </w:rPr>
        <w:t>3.1.1  实验动物</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动物品系：西藏小型猪；</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等级：普通级；</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动物规格：230-250日龄，雌性，45头；340-360日龄，雌性，9头；340-360日龄，雄性，2头；</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出售单位：南方医科大学；</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实验单位：南方医科大学；</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伦理审查号：</w:t>
      </w:r>
      <w:r>
        <w:rPr>
          <w:rFonts w:hint="eastAsia" w:ascii="宋体" w:hAnsi="宋体" w:eastAsia="宋体" w:cs="宋体"/>
          <w:b w:val="0"/>
          <w:bCs w:val="0"/>
          <w:color w:val="000000"/>
          <w:sz w:val="24"/>
          <w:szCs w:val="24"/>
          <w:lang w:val="en-US" w:eastAsia="zh-CN"/>
        </w:rPr>
        <w:t>L2016088</w:t>
      </w:r>
      <w:r>
        <w:rPr>
          <w:rFonts w:hint="eastAsia" w:ascii="宋体" w:hAnsi="宋体" w:eastAsia="宋体" w:cs="宋体"/>
          <w:sz w:val="24"/>
          <w:szCs w:val="24"/>
          <w:lang w:val="en-US"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合格证编号：44002100009463；44002100009464；44002100009465；</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实验单位使用许可证编号：SYXK（粤）2011-0074；</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kern w:val="0"/>
          <w:sz w:val="24"/>
          <w:szCs w:val="24"/>
          <w:lang w:val="en-US" w:eastAsia="zh-CN" w:bidi="ar-SA"/>
        </w:rPr>
      </w:pPr>
      <w:r>
        <w:rPr>
          <w:rFonts w:hint="eastAsia" w:ascii="宋体" w:hAnsi="宋体" w:eastAsia="宋体" w:cs="宋体"/>
          <w:sz w:val="24"/>
          <w:szCs w:val="24"/>
          <w:lang w:val="en-US" w:eastAsia="zh-CN"/>
        </w:rPr>
        <w:t>许可证号：SCXK（粤）2011-0015。</w:t>
      </w:r>
    </w:p>
    <w:p>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本研究所用的西藏小型猪均在南方医科大学实验动物中心饲养。所有动物</w:t>
      </w:r>
      <w:r>
        <w:rPr>
          <w:rFonts w:hint="eastAsia" w:ascii="宋体" w:hAnsi="宋体" w:eastAsia="宋体" w:cs="宋体"/>
          <w:color w:val="000000"/>
          <w:sz w:val="24"/>
          <w:szCs w:val="24"/>
          <w:lang w:val="en-US" w:eastAsia="zh-CN"/>
        </w:rPr>
        <w:t>实验</w:t>
      </w:r>
      <w:r>
        <w:rPr>
          <w:rFonts w:hint="eastAsia" w:ascii="宋体" w:hAnsi="宋体" w:eastAsia="宋体" w:cs="宋体"/>
          <w:color w:val="000000"/>
          <w:sz w:val="24"/>
          <w:szCs w:val="24"/>
        </w:rPr>
        <w:t>都</w:t>
      </w:r>
      <w:r>
        <w:rPr>
          <w:rFonts w:hint="eastAsia" w:ascii="宋体" w:hAnsi="宋体" w:eastAsia="宋体" w:cs="宋体"/>
          <w:color w:val="000000"/>
          <w:sz w:val="24"/>
          <w:szCs w:val="24"/>
          <w:lang w:val="en-US" w:eastAsia="zh-CN"/>
        </w:rPr>
        <w:t>经</w:t>
      </w:r>
      <w:r>
        <w:rPr>
          <w:rFonts w:hint="eastAsia" w:ascii="宋体" w:hAnsi="宋体" w:eastAsia="宋体" w:cs="宋体"/>
          <w:color w:val="000000"/>
          <w:sz w:val="24"/>
          <w:szCs w:val="24"/>
        </w:rPr>
        <w:t>南方医科大学实验动物福利与伦理委员会（IACUC）批准。所有手术均在麻醉下进行，并尽可能减少动物的痛苦</w:t>
      </w:r>
      <w:r>
        <w:rPr>
          <w:rFonts w:hint="eastAsia" w:ascii="宋体" w:hAnsi="宋体" w:eastAsia="宋体" w:cs="宋体"/>
          <w:b/>
          <w:bCs/>
          <w:color w:val="000000"/>
          <w:sz w:val="24"/>
          <w:szCs w:val="24"/>
        </w:rPr>
        <w:t>。</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2"/>
        <w:rPr>
          <w:rFonts w:hint="eastAsia" w:ascii="宋体" w:hAnsi="宋体" w:eastAsia="宋体" w:cs="宋体"/>
          <w:kern w:val="0"/>
          <w:sz w:val="24"/>
          <w:szCs w:val="24"/>
          <w:lang w:val="en-US" w:eastAsia="zh-CN" w:bidi="ar-SA"/>
        </w:rPr>
      </w:pPr>
      <w:bookmarkStart w:id="41" w:name="_Toc24674"/>
      <w:bookmarkStart w:id="42" w:name="_Toc28679"/>
      <w:bookmarkStart w:id="43" w:name="_Toc28209"/>
      <w:bookmarkStart w:id="44" w:name="_Toc12048"/>
      <w:bookmarkStart w:id="45" w:name="_Toc26346"/>
      <w:bookmarkStart w:id="46" w:name="_Toc20032"/>
      <w:bookmarkStart w:id="47" w:name="_Toc30273"/>
      <w:bookmarkStart w:id="48" w:name="_Toc7762"/>
      <w:bookmarkStart w:id="49" w:name="_Toc9759"/>
      <w:bookmarkStart w:id="50" w:name="_Toc1761"/>
      <w:bookmarkStart w:id="51" w:name="_Toc29723"/>
      <w:bookmarkStart w:id="52" w:name="_Toc13987"/>
      <w:bookmarkStart w:id="53" w:name="_Toc20298"/>
      <w:bookmarkStart w:id="54" w:name="_Toc2465"/>
      <w:bookmarkStart w:id="55" w:name="_Toc31264"/>
      <w:bookmarkStart w:id="56" w:name="_Toc27258"/>
      <w:bookmarkStart w:id="57" w:name="_Toc16318"/>
      <w:bookmarkStart w:id="58" w:name="_Toc25152"/>
      <w:bookmarkStart w:id="59" w:name="_Toc3585"/>
      <w:bookmarkStart w:id="60" w:name="_Toc6516"/>
      <w:r>
        <w:rPr>
          <w:rFonts w:hint="eastAsia" w:ascii="宋体" w:hAnsi="宋体" w:eastAsia="宋体" w:cs="宋体"/>
          <w:kern w:val="0"/>
          <w:sz w:val="24"/>
          <w:szCs w:val="24"/>
          <w:lang w:val="en-US" w:eastAsia="zh-CN" w:bidi="ar-SA"/>
        </w:rPr>
        <w:t>3.1.2  试剂耗材</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pPr>
        <w:adjustRightInd w:val="0"/>
        <w:spacing w:line="360" w:lineRule="auto"/>
        <w:rPr>
          <w:rFonts w:hint="eastAsia" w:ascii="宋体" w:hAnsi="宋体" w:eastAsia="宋体" w:cs="宋体"/>
          <w:sz w:val="24"/>
          <w:szCs w:val="24"/>
          <w:lang w:eastAsia="zh-CN"/>
        </w:rPr>
      </w:pPr>
      <w:r>
        <w:rPr>
          <w:rFonts w:hint="eastAsia" w:ascii="宋体" w:hAnsi="宋体" w:eastAsia="宋体" w:cs="宋体"/>
          <w:color w:val="000000"/>
          <w:sz w:val="24"/>
          <w:szCs w:val="24"/>
        </w:rPr>
        <w:t>麦管（</w:t>
      </w:r>
      <w:r>
        <w:rPr>
          <w:rFonts w:hint="eastAsia" w:ascii="宋体" w:hAnsi="宋体" w:eastAsia="宋体" w:cs="宋体"/>
          <w:sz w:val="24"/>
          <w:szCs w:val="24"/>
        </w:rPr>
        <w:t>0.25 mL，法国，IMV</w:t>
      </w:r>
      <w:r>
        <w:rPr>
          <w:rFonts w:hint="eastAsia" w:ascii="宋体" w:hAnsi="宋体" w:eastAsia="宋体" w:cs="宋体"/>
          <w:color w:val="000000"/>
          <w:sz w:val="24"/>
          <w:szCs w:val="24"/>
        </w:rPr>
        <w:t>）</w:t>
      </w:r>
      <w:r>
        <w:rPr>
          <w:rFonts w:hint="eastAsia" w:ascii="宋体" w:hAnsi="宋体" w:eastAsia="宋体" w:cs="宋体"/>
          <w:color w:val="000000"/>
          <w:sz w:val="24"/>
          <w:szCs w:val="24"/>
          <w:lang w:eastAsia="zh-CN"/>
        </w:rPr>
        <w:t>；</w:t>
      </w:r>
    </w:p>
    <w:p>
      <w:pPr>
        <w:adjustRightInd w:val="0"/>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载玻片（7101，国产，帆船牌）</w:t>
      </w:r>
      <w:r>
        <w:rPr>
          <w:rFonts w:hint="eastAsia" w:ascii="宋体" w:hAnsi="宋体" w:eastAsia="宋体" w:cs="宋体"/>
          <w:color w:val="000000"/>
          <w:sz w:val="24"/>
          <w:szCs w:val="24"/>
          <w:lang w:eastAsia="zh-CN"/>
        </w:rPr>
        <w:t>；</w:t>
      </w:r>
    </w:p>
    <w:p>
      <w:pPr>
        <w:adjustRightInd w:val="0"/>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PZM-3培养液（需配制，表1）</w:t>
      </w:r>
      <w:r>
        <w:rPr>
          <w:rFonts w:hint="eastAsia" w:ascii="宋体" w:hAnsi="宋体" w:eastAsia="宋体" w:cs="宋体"/>
          <w:color w:val="000000"/>
          <w:sz w:val="24"/>
          <w:szCs w:val="24"/>
          <w:lang w:eastAsia="zh-CN"/>
        </w:rPr>
        <w:t>；</w:t>
      </w:r>
    </w:p>
    <w:p>
      <w:pPr>
        <w:spacing w:line="360" w:lineRule="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TCM-199操作液（需配制，表2）</w:t>
      </w:r>
      <w:r>
        <w:rPr>
          <w:rFonts w:hint="eastAsia" w:ascii="宋体" w:hAnsi="宋体" w:eastAsia="宋体" w:cs="宋体"/>
          <w:color w:val="000000"/>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胚胎水 (W1503，美国，Sigma)；</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矿物油（M8410，美国，Sigma）；</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Premix Taq（R004A，日本，Takara）；</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pMD19-T Vector Cloning Kit（6013，日本，Takara）；</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TaKaRa MiniBEST Agarose Gel DNA Extraction Kit（9762，日本，Takara）；Age I限制性内切酶（R3552，美国，New England Biolabs）；</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Bsa I限制性内切酶（R3535，美国，New England Biolabs）；</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Phusion 超保真 DNA 聚合酶（M0530，美国，New England Biolabs）；MEGAshortscript T7 kit（AM1354，美国，Life Technologies）；</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mMESSAGE mMACHINE T7 ultra kit（AM1345，美国，Life Technologies）；</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Cas9表达载体pST1374-NLS-flag-linker-Cas9 （44758，美国，Addgene）；</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sgRNA克隆载体pGL3-U6-gRNA-PGK-puromycin（51133，美国，Addgene）；</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RNA抽提试剂（酚:氯仿:异戊醇=25:24:1，pH&lt;5.0）（P1011，中国，北京索莱宝科技有限公司）；</w:t>
      </w:r>
    </w:p>
    <w:p>
      <w:pPr>
        <w:tabs>
          <w:tab w:val="left" w:pos="420"/>
        </w:tabs>
        <w:adjustRightInd w:val="0"/>
        <w:snapToGrid w:val="0"/>
        <w:spacing w:line="360" w:lineRule="auto"/>
        <w:rPr>
          <w:rFonts w:hint="eastAsia" w:ascii="宋体" w:hAnsi="宋体" w:eastAsia="宋体" w:cs="宋体"/>
          <w:sz w:val="24"/>
          <w:szCs w:val="24"/>
          <w:lang w:val="en-US" w:eastAsia="zh-CN"/>
        </w:rPr>
      </w:pPr>
      <w:r>
        <w:rPr>
          <w:rFonts w:hint="eastAsia" w:ascii="宋体" w:hAnsi="宋体" w:eastAsia="宋体" w:cs="宋体"/>
          <w:color w:val="000000"/>
          <w:sz w:val="24"/>
          <w:szCs w:val="24"/>
        </w:rPr>
        <w:t>DNA抽提试剂（酚:氯仿:异戊醇=25:24:1，pH&gt;7.8）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P1012，国产，北京索莱宝科技有限公司）</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质粒小提试剂盒（DP103，中国，天根生化科技有限公司）；</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血液/组织/细胞基因组提取试剂盒（DP304，中国，天根生化科技有限公司）；</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四烯雌酮（CAS 850-52-2，国产，北京市科益丰生物技术发展有限公司）</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1%结晶紫水溶液（G1059，国产，北京索莱宝科技有限公司）</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甲醇（分析纯，国产，天津市大茂化学试剂厂）</w:t>
      </w:r>
    </w:p>
    <w:p>
      <w:pPr>
        <w:widowControl/>
        <w:adjustRightInd w:val="0"/>
        <w:spacing w:line="360" w:lineRule="auto"/>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Dubecco's磷酸缓冲液（</w:t>
      </w:r>
      <w:r>
        <w:rPr>
          <w:rFonts w:hint="eastAsia" w:ascii="宋体" w:hAnsi="宋体" w:eastAsia="宋体" w:cs="宋体"/>
          <w:color w:val="000000"/>
          <w:sz w:val="24"/>
          <w:szCs w:val="24"/>
          <w:shd w:val="clear" w:color="auto" w:fill="FFFFFF"/>
        </w:rPr>
        <w:t>P1002，</w:t>
      </w:r>
      <w:r>
        <w:rPr>
          <w:rFonts w:hint="eastAsia" w:ascii="宋体" w:hAnsi="宋体" w:eastAsia="宋体" w:cs="宋体"/>
          <w:color w:val="000000"/>
          <w:sz w:val="24"/>
          <w:szCs w:val="24"/>
        </w:rPr>
        <w:t>国产，北京索莱宝科技有限公司</w:t>
      </w:r>
      <w:r>
        <w:rPr>
          <w:rFonts w:hint="eastAsia" w:ascii="宋体" w:hAnsi="宋体" w:eastAsia="宋体" w:cs="宋体"/>
          <w:color w:val="000000"/>
          <w:kern w:val="0"/>
          <w:sz w:val="24"/>
          <w:szCs w:val="24"/>
          <w:lang w:bidi="ar"/>
        </w:rPr>
        <w:t>）</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青霉素钾（国产，成都中牧生物药业有限公司）</w:t>
      </w:r>
    </w:p>
    <w:p>
      <w:pPr>
        <w:adjustRightInd w:val="0"/>
        <w:spacing w:line="360" w:lineRule="auto"/>
        <w:rPr>
          <w:rFonts w:hint="eastAsia" w:ascii="宋体" w:hAnsi="宋体" w:eastAsia="宋体" w:cs="宋体"/>
          <w:color w:val="000000"/>
          <w:kern w:val="0"/>
          <w:sz w:val="24"/>
          <w:szCs w:val="24"/>
          <w:lang w:bidi="ar"/>
        </w:rPr>
      </w:pPr>
      <w:r>
        <w:rPr>
          <w:rFonts w:hint="eastAsia" w:ascii="宋体" w:hAnsi="宋体" w:eastAsia="宋体" w:cs="宋体"/>
          <w:color w:val="000000"/>
          <w:sz w:val="24"/>
          <w:szCs w:val="24"/>
        </w:rPr>
        <w:t>硫酸链霉素（国产，华北制药集团动物保健品有限责任公司）</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手术切口无菌膜（海壳生，国产，上海海纯生物有限公司）</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可吸收线（金环，国产，上海浦东金环医疗用品股份有限公司）</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常用手术器械（金钟，国产，上海医疗器械有限公司手术器械厂）</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宠物用留置针（海迪科，国产，山东海迪科医用制品有限公司）</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毛细玻璃管（规格1.0×0.6×100 mm，国产，北京正天易科贸有限公司）</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sz w:val="24"/>
          <w:szCs w:val="24"/>
        </w:rPr>
        <w:t>保温瓶（SSAM-B1500，国产，上海万盛保温容器有限公司）</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常用手术耗材（国产，纱布、棉签、棉球、碘酊、刀片等）</w:t>
      </w:r>
    </w:p>
    <w:p>
      <w:pPr>
        <w:adjustRightIn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不同规格的培养皿、离心管、EP管、吸头等（美国，Corning）</w:t>
      </w:r>
    </w:p>
    <w:p>
      <w:pPr>
        <w:spacing w:line="360" w:lineRule="auto"/>
        <w:rPr>
          <w:rFonts w:hint="eastAsia" w:ascii="宋体" w:hAnsi="宋体" w:eastAsia="宋体" w:cs="宋体"/>
          <w:sz w:val="24"/>
          <w:szCs w:val="24"/>
        </w:rPr>
      </w:pPr>
      <w:r>
        <w:rPr>
          <w:rFonts w:hint="eastAsia" w:ascii="宋体" w:hAnsi="宋体" w:eastAsia="宋体" w:cs="宋体"/>
          <w:sz w:val="24"/>
          <w:szCs w:val="24"/>
        </w:rPr>
        <w:t>血液生理分析试剂（日本，Sysmex厂家配套试剂）</w:t>
      </w:r>
    </w:p>
    <w:p>
      <w:pPr>
        <w:spacing w:line="360" w:lineRule="auto"/>
        <w:rPr>
          <w:rFonts w:hint="eastAsia" w:ascii="宋体" w:hAnsi="宋体" w:eastAsia="宋体" w:cs="宋体"/>
          <w:color w:val="000000"/>
          <w:sz w:val="24"/>
          <w:szCs w:val="24"/>
        </w:rPr>
      </w:pPr>
      <w:r>
        <w:rPr>
          <w:rFonts w:hint="eastAsia" w:ascii="宋体" w:hAnsi="宋体" w:eastAsia="宋体" w:cs="宋体"/>
          <w:sz w:val="24"/>
          <w:szCs w:val="24"/>
        </w:rPr>
        <w:t>血生化检测试剂（见</w:t>
      </w:r>
      <w:r>
        <w:rPr>
          <w:rFonts w:hint="eastAsia" w:ascii="宋体" w:hAnsi="宋体" w:eastAsia="宋体" w:cs="宋体"/>
          <w:sz w:val="24"/>
          <w:szCs w:val="24"/>
          <w:lang w:eastAsia="zh-CN"/>
        </w:rPr>
        <w:t>表19</w:t>
      </w:r>
      <w:r>
        <w:rPr>
          <w:rFonts w:hint="eastAsia" w:ascii="宋体" w:hAnsi="宋体" w:eastAsia="宋体" w:cs="宋体"/>
          <w:sz w:val="24"/>
          <w:szCs w:val="24"/>
        </w:rPr>
        <w:t>，国产，北京九强生物技术有限公司）</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jc w:val="left"/>
        <w:textAlignment w:val="auto"/>
        <w:outlineLvl w:val="2"/>
        <w:rPr>
          <w:rFonts w:hint="eastAsia" w:ascii="宋体" w:hAnsi="宋体" w:eastAsia="宋体" w:cs="宋体"/>
          <w:kern w:val="0"/>
          <w:sz w:val="24"/>
          <w:szCs w:val="24"/>
          <w:lang w:val="en-US" w:eastAsia="zh-CN" w:bidi="ar-SA"/>
        </w:rPr>
      </w:pPr>
      <w:bookmarkStart w:id="61" w:name="_Toc14146"/>
      <w:bookmarkStart w:id="62" w:name="_Toc1230"/>
      <w:bookmarkStart w:id="63" w:name="_Toc20856"/>
      <w:bookmarkStart w:id="64" w:name="_Toc19080"/>
      <w:bookmarkStart w:id="65" w:name="_Toc1861"/>
      <w:bookmarkStart w:id="66" w:name="_Toc26383"/>
      <w:bookmarkStart w:id="67" w:name="_Toc40"/>
      <w:bookmarkStart w:id="68" w:name="_Toc2218"/>
      <w:bookmarkStart w:id="69" w:name="_Toc10471"/>
      <w:bookmarkStart w:id="70" w:name="_Toc14793"/>
      <w:bookmarkStart w:id="71" w:name="_Toc11093"/>
      <w:bookmarkStart w:id="72" w:name="_Toc20316"/>
      <w:bookmarkStart w:id="73" w:name="_Toc6908"/>
      <w:bookmarkStart w:id="74" w:name="_Toc15833"/>
      <w:bookmarkStart w:id="75" w:name="_Toc5894"/>
      <w:bookmarkStart w:id="76" w:name="_Toc7599"/>
      <w:bookmarkStart w:id="77" w:name="_Toc17082"/>
      <w:bookmarkStart w:id="78" w:name="_Toc15088"/>
      <w:bookmarkStart w:id="79" w:name="_Toc25892"/>
      <w:bookmarkStart w:id="80" w:name="_Toc14378"/>
      <w:r>
        <w:rPr>
          <w:rFonts w:hint="eastAsia" w:ascii="宋体" w:hAnsi="宋体" w:eastAsia="宋体" w:cs="宋体"/>
          <w:kern w:val="0"/>
          <w:sz w:val="24"/>
          <w:szCs w:val="24"/>
          <w:lang w:val="en-US" w:eastAsia="zh-CN" w:bidi="ar-SA"/>
        </w:rPr>
        <w:t>3.1.3  仪器设备</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pPr>
        <w:spacing w:line="360" w:lineRule="auto"/>
        <w:rPr>
          <w:rFonts w:hint="eastAsia" w:ascii="宋体" w:hAnsi="宋体" w:eastAsia="宋体" w:cs="宋体"/>
          <w:b/>
          <w:bCs/>
          <w:color w:val="000000"/>
          <w:sz w:val="24"/>
          <w:szCs w:val="24"/>
        </w:rPr>
      </w:pPr>
      <w:r>
        <w:rPr>
          <w:rFonts w:hint="eastAsia" w:ascii="宋体" w:hAnsi="宋体" w:eastAsia="宋体" w:cs="宋体"/>
          <w:color w:val="000000"/>
          <w:sz w:val="24"/>
          <w:szCs w:val="24"/>
        </w:rPr>
        <w:t>高速冷冻离心机（3K18，美国，Sigma）</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PCR扩增仪（PTC 200，美国，Bio-Rad）</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凝胶成像系统（GelDoc EQ，美国，Bio-Rad） </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超低温冰箱（-80℃）（702，美国，Thermo）</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紫外分光光度计（NanoDrop 2000，美国，Thermo）</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高速离心机（Centrifuge 5418，德国，Eppendorf）</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核酸蛋白测定仪（Biophotometer 6131，德国，Eppendorf）</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电泳仪（DYY-2C，国产，北京市六一仪器厂）</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紫外透射仪（GL-312，国产，江苏海门市麒麟医用仪器厂）</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电子分析天平（BT224S，国产，赛利多斯科学仪器有限公司）</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生化培养箱（SPX-250B，国产，上海福玛实验设备有限公司）</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电热恒温水浴锅（HWS12，国产，上海一恒科学仪器有限公司）</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细菌恒温摇床（SPH-210A，国产，上海双旭电子有限公司）</w:t>
      </w:r>
    </w:p>
    <w:p>
      <w:pPr>
        <w:spacing w:line="360" w:lineRule="auto"/>
        <w:rPr>
          <w:rFonts w:hint="eastAsia" w:ascii="宋体" w:hAnsi="宋体" w:eastAsia="宋体" w:cs="宋体"/>
          <w:sz w:val="24"/>
          <w:szCs w:val="24"/>
        </w:rPr>
      </w:pPr>
      <w:r>
        <w:rPr>
          <w:rFonts w:hint="eastAsia" w:ascii="宋体" w:hAnsi="宋体" w:eastAsia="宋体" w:cs="宋体"/>
          <w:sz w:val="24"/>
          <w:szCs w:val="24"/>
        </w:rPr>
        <w:t>洁净工作台（SW-OJ-2FD，国产，苏净集团苏州安泰空气技术有限公司）</w:t>
      </w:r>
    </w:p>
    <w:p>
      <w:pPr>
        <w:spacing w:line="360" w:lineRule="auto"/>
        <w:rPr>
          <w:rFonts w:hint="eastAsia" w:ascii="宋体" w:hAnsi="宋体" w:eastAsia="宋体" w:cs="宋体"/>
          <w:sz w:val="24"/>
          <w:szCs w:val="24"/>
        </w:rPr>
      </w:pPr>
      <w:r>
        <w:rPr>
          <w:rFonts w:hint="eastAsia" w:ascii="宋体" w:hAnsi="宋体" w:eastAsia="宋体" w:cs="宋体"/>
          <w:sz w:val="24"/>
          <w:szCs w:val="24"/>
        </w:rPr>
        <w:t>生物安全台（HFsafe-1800，国产，上海力申科学仪器有限公司）</w:t>
      </w:r>
    </w:p>
    <w:p>
      <w:pPr>
        <w:spacing w:line="360" w:lineRule="auto"/>
        <w:rPr>
          <w:rFonts w:hint="eastAsia" w:ascii="宋体" w:hAnsi="宋体" w:eastAsia="宋体" w:cs="宋体"/>
          <w:sz w:val="24"/>
          <w:szCs w:val="24"/>
        </w:rPr>
      </w:pPr>
      <w:r>
        <w:rPr>
          <w:rFonts w:hint="eastAsia" w:ascii="宋体" w:hAnsi="宋体" w:eastAsia="宋体" w:cs="宋体"/>
          <w:sz w:val="24"/>
          <w:szCs w:val="24"/>
        </w:rPr>
        <w:t>高压蒸汽消毒器（HVE-50，日本，HIRAYAMA Manufacturing Corporation）</w:t>
      </w:r>
    </w:p>
    <w:p>
      <w:pPr>
        <w:spacing w:line="360" w:lineRule="auto"/>
        <w:rPr>
          <w:rFonts w:hint="eastAsia" w:ascii="宋体" w:hAnsi="宋体" w:eastAsia="宋体" w:cs="宋体"/>
          <w:sz w:val="24"/>
          <w:szCs w:val="24"/>
        </w:rPr>
      </w:pPr>
      <w:r>
        <w:rPr>
          <w:rFonts w:hint="eastAsia" w:ascii="宋体" w:hAnsi="宋体" w:eastAsia="宋体" w:cs="宋体"/>
          <w:sz w:val="24"/>
          <w:szCs w:val="24"/>
        </w:rPr>
        <w:t>金属浴（TOMCS BG25，国产，杭州朗基科学仪器有限公司）</w:t>
      </w:r>
    </w:p>
    <w:p>
      <w:pPr>
        <w:spacing w:line="360" w:lineRule="auto"/>
        <w:rPr>
          <w:rFonts w:hint="eastAsia" w:ascii="宋体" w:hAnsi="宋体" w:eastAsia="宋体" w:cs="宋体"/>
          <w:sz w:val="24"/>
          <w:szCs w:val="24"/>
        </w:rPr>
      </w:pPr>
      <w:r>
        <w:rPr>
          <w:rFonts w:hint="eastAsia" w:ascii="宋体" w:hAnsi="宋体" w:eastAsia="宋体" w:cs="宋体"/>
          <w:sz w:val="24"/>
          <w:szCs w:val="24"/>
        </w:rPr>
        <w:t>恒温热台（TP-CK05，日本，TOKAT HIT）</w:t>
      </w:r>
    </w:p>
    <w:p>
      <w:pPr>
        <w:spacing w:line="360" w:lineRule="auto"/>
        <w:rPr>
          <w:rFonts w:hint="eastAsia" w:ascii="宋体" w:hAnsi="宋体" w:eastAsia="宋体" w:cs="宋体"/>
          <w:sz w:val="24"/>
          <w:szCs w:val="24"/>
        </w:rPr>
      </w:pPr>
      <w:r>
        <w:rPr>
          <w:rFonts w:hint="eastAsia" w:ascii="宋体" w:hAnsi="宋体" w:eastAsia="宋体" w:cs="宋体"/>
          <w:sz w:val="24"/>
          <w:szCs w:val="24"/>
        </w:rPr>
        <w:t>拉针仪（P-97，美国，SUTTER INSTRUMENT Company）</w:t>
      </w:r>
    </w:p>
    <w:p>
      <w:pPr>
        <w:spacing w:line="360" w:lineRule="auto"/>
        <w:rPr>
          <w:rFonts w:hint="eastAsia" w:ascii="宋体" w:hAnsi="宋体" w:eastAsia="宋体" w:cs="宋体"/>
          <w:color w:val="000000"/>
          <w:sz w:val="24"/>
          <w:szCs w:val="24"/>
        </w:rPr>
      </w:pPr>
      <w:r>
        <w:rPr>
          <w:rFonts w:hint="eastAsia" w:ascii="宋体" w:hAnsi="宋体" w:eastAsia="宋体" w:cs="宋体"/>
          <w:sz w:val="24"/>
          <w:szCs w:val="24"/>
        </w:rPr>
        <w:t>煅针仪（MF-900，日本，NARISHIGE Company）</w:t>
      </w:r>
    </w:p>
    <w:p>
      <w:pPr>
        <w:spacing w:line="360" w:lineRule="auto"/>
        <w:rPr>
          <w:rFonts w:hint="eastAsia" w:ascii="宋体" w:hAnsi="宋体" w:eastAsia="宋体" w:cs="宋体"/>
          <w:sz w:val="24"/>
          <w:szCs w:val="24"/>
        </w:rPr>
      </w:pPr>
      <w:r>
        <w:rPr>
          <w:rFonts w:hint="eastAsia" w:ascii="宋体" w:hAnsi="宋体" w:eastAsia="宋体" w:cs="宋体"/>
          <w:sz w:val="24"/>
          <w:szCs w:val="24"/>
        </w:rPr>
        <w:t>体视显微镜（SZX10，日本，OLYMPUS）</w:t>
      </w:r>
    </w:p>
    <w:p>
      <w:pPr>
        <w:spacing w:line="360" w:lineRule="auto"/>
        <w:rPr>
          <w:rFonts w:hint="eastAsia" w:ascii="宋体" w:hAnsi="宋体" w:eastAsia="宋体" w:cs="宋体"/>
          <w:sz w:val="24"/>
          <w:szCs w:val="24"/>
        </w:rPr>
      </w:pPr>
      <w:r>
        <w:rPr>
          <w:rFonts w:hint="eastAsia" w:ascii="宋体" w:hAnsi="宋体" w:eastAsia="宋体" w:cs="宋体"/>
          <w:sz w:val="24"/>
          <w:szCs w:val="24"/>
        </w:rPr>
        <w:t>显微注射显微镜（CKX41SF，日本，OLYMPUS）</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显微操作仪（TransferMan NK2，德国，Eppendorf）</w:t>
      </w: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移液枪（各量程，德国，Eppendorf）</w:t>
      </w:r>
    </w:p>
    <w:p>
      <w:pPr>
        <w:spacing w:line="360" w:lineRule="auto"/>
        <w:rPr>
          <w:rFonts w:hint="eastAsia" w:ascii="宋体" w:hAnsi="宋体" w:eastAsia="宋体" w:cs="宋体"/>
          <w:sz w:val="24"/>
          <w:szCs w:val="24"/>
        </w:rPr>
      </w:pPr>
      <w:r>
        <w:rPr>
          <w:rFonts w:hint="eastAsia" w:ascii="宋体" w:hAnsi="宋体" w:eastAsia="宋体" w:cs="宋体"/>
          <w:sz w:val="24"/>
          <w:szCs w:val="24"/>
        </w:rPr>
        <w:t>血液分析仪（XT-1800i，日本，Sysmex Corporation）</w:t>
      </w:r>
    </w:p>
    <w:p>
      <w:pPr>
        <w:spacing w:line="360" w:lineRule="auto"/>
        <w:rPr>
          <w:rFonts w:hint="eastAsia" w:ascii="宋体" w:hAnsi="宋体" w:eastAsia="宋体" w:cs="宋体"/>
          <w:sz w:val="24"/>
          <w:szCs w:val="24"/>
        </w:rPr>
      </w:pPr>
      <w:r>
        <w:rPr>
          <w:rFonts w:hint="eastAsia" w:ascii="宋体" w:hAnsi="宋体" w:eastAsia="宋体" w:cs="宋体"/>
          <w:sz w:val="24"/>
          <w:szCs w:val="24"/>
        </w:rPr>
        <w:t>荧光显微镜（BX43，日本，OLYMPUS）</w:t>
      </w:r>
    </w:p>
    <w:p>
      <w:pPr>
        <w:spacing w:line="360" w:lineRule="auto"/>
        <w:rPr>
          <w:rFonts w:hint="eastAsia" w:ascii="宋体" w:hAnsi="宋体" w:eastAsia="宋体" w:cs="宋体"/>
          <w:sz w:val="24"/>
          <w:szCs w:val="24"/>
        </w:rPr>
      </w:pPr>
      <w:r>
        <w:rPr>
          <w:rFonts w:hint="eastAsia" w:ascii="宋体" w:hAnsi="宋体" w:eastAsia="宋体" w:cs="宋体"/>
          <w:sz w:val="24"/>
          <w:szCs w:val="24"/>
        </w:rPr>
        <w:t>包埋机（EG1160，德国，Leica）</w:t>
      </w:r>
    </w:p>
    <w:p>
      <w:pPr>
        <w:spacing w:line="360" w:lineRule="auto"/>
        <w:rPr>
          <w:rFonts w:hint="eastAsia" w:ascii="宋体" w:hAnsi="宋体" w:eastAsia="宋体" w:cs="宋体"/>
          <w:sz w:val="24"/>
          <w:szCs w:val="24"/>
        </w:rPr>
      </w:pPr>
      <w:r>
        <w:rPr>
          <w:rFonts w:hint="eastAsia" w:ascii="宋体" w:hAnsi="宋体" w:eastAsia="宋体" w:cs="宋体"/>
          <w:sz w:val="24"/>
          <w:szCs w:val="24"/>
        </w:rPr>
        <w:t>切片机（RM2245，德国，Leica）</w:t>
      </w:r>
    </w:p>
    <w:p>
      <w:pPr>
        <w:spacing w:line="360" w:lineRule="auto"/>
        <w:rPr>
          <w:rFonts w:hint="eastAsia" w:ascii="宋体" w:hAnsi="宋体" w:eastAsia="宋体" w:cs="宋体"/>
          <w:sz w:val="24"/>
          <w:szCs w:val="24"/>
        </w:rPr>
      </w:pPr>
      <w:r>
        <w:rPr>
          <w:rFonts w:hint="eastAsia" w:ascii="宋体" w:hAnsi="宋体" w:eastAsia="宋体" w:cs="宋体"/>
          <w:sz w:val="24"/>
          <w:szCs w:val="24"/>
        </w:rPr>
        <w:t>烘片机（HI1220，德国，Leica）</w:t>
      </w:r>
    </w:p>
    <w:p>
      <w:pPr>
        <w:spacing w:line="360" w:lineRule="auto"/>
        <w:rPr>
          <w:rFonts w:hint="eastAsia" w:ascii="宋体" w:hAnsi="宋体" w:eastAsia="宋体" w:cs="宋体"/>
          <w:sz w:val="24"/>
          <w:szCs w:val="24"/>
        </w:rPr>
      </w:pPr>
      <w:r>
        <w:rPr>
          <w:rFonts w:hint="eastAsia" w:ascii="宋体" w:hAnsi="宋体" w:eastAsia="宋体" w:cs="宋体"/>
          <w:sz w:val="24"/>
          <w:szCs w:val="24"/>
        </w:rPr>
        <w:t>摊片机（HI1210，德国，Leica）</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bookmarkStart w:id="81" w:name="_Toc31120"/>
      <w:bookmarkStart w:id="82" w:name="_Toc4499"/>
      <w:bookmarkStart w:id="83" w:name="_Toc854"/>
      <w:bookmarkStart w:id="84" w:name="_Toc7542"/>
      <w:bookmarkStart w:id="85" w:name="_Toc11169"/>
      <w:bookmarkStart w:id="86" w:name="_Toc14489"/>
      <w:bookmarkStart w:id="87" w:name="_Toc20137"/>
      <w:bookmarkStart w:id="88" w:name="_Toc12012"/>
      <w:bookmarkStart w:id="89" w:name="_Toc14912"/>
      <w:bookmarkStart w:id="90" w:name="_Toc13818"/>
      <w:bookmarkStart w:id="91" w:name="_Toc10282"/>
      <w:bookmarkStart w:id="92" w:name="_Toc20735"/>
      <w:bookmarkStart w:id="93" w:name="_Toc14035"/>
      <w:bookmarkStart w:id="94" w:name="_Toc3061"/>
      <w:bookmarkStart w:id="95" w:name="_Toc9185"/>
      <w:bookmarkStart w:id="96" w:name="_Toc16915"/>
      <w:bookmarkStart w:id="97" w:name="_Toc11600"/>
      <w:bookmarkStart w:id="98" w:name="_Toc27341"/>
      <w:bookmarkStart w:id="99" w:name="_Toc24012"/>
      <w:bookmarkStart w:id="100" w:name="_Toc13437"/>
      <w:r>
        <w:rPr>
          <w:rFonts w:hint="eastAsia" w:ascii="宋体" w:hAnsi="宋体" w:eastAsia="宋体" w:cs="宋体"/>
          <w:kern w:val="0"/>
          <w:sz w:val="24"/>
          <w:szCs w:val="24"/>
          <w:lang w:val="en-US" w:eastAsia="zh-CN" w:bidi="ar-SA"/>
        </w:rPr>
        <w:t>3.1.4  软件系统</w:t>
      </w:r>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p>
    <w:p>
      <w:pPr>
        <w:spacing w:line="360" w:lineRule="auto"/>
        <w:rPr>
          <w:rFonts w:hint="eastAsia" w:ascii="宋体" w:hAnsi="宋体" w:eastAsia="宋体" w:cs="宋体"/>
          <w:sz w:val="24"/>
          <w:szCs w:val="24"/>
        </w:rPr>
      </w:pPr>
      <w:r>
        <w:rPr>
          <w:rFonts w:hint="eastAsia" w:ascii="宋体" w:hAnsi="宋体" w:eastAsia="宋体" w:cs="宋体"/>
          <w:sz w:val="24"/>
          <w:szCs w:val="24"/>
        </w:rPr>
        <w:t>SPSS统计分析软件（IBM</w:t>
      </w:r>
      <w:r>
        <w:rPr>
          <w:rFonts w:hint="eastAsia" w:ascii="宋体" w:hAnsi="宋体" w:eastAsia="宋体" w:cs="宋体"/>
          <w:kern w:val="0"/>
          <w:sz w:val="24"/>
          <w:szCs w:val="24"/>
          <w:lang w:bidi="ar"/>
        </w:rPr>
        <w:t xml:space="preserve"> SPSS 20.0</w:t>
      </w:r>
      <w:r>
        <w:rPr>
          <w:rFonts w:hint="eastAsia" w:ascii="宋体" w:hAnsi="宋体" w:eastAsia="宋体" w:cs="宋体"/>
          <w:sz w:val="24"/>
          <w:szCs w:val="24"/>
        </w:rPr>
        <w:t>）</w:t>
      </w:r>
    </w:p>
    <w:p>
      <w:pPr>
        <w:spacing w:line="360" w:lineRule="auto"/>
        <w:rPr>
          <w:rFonts w:hint="eastAsia" w:ascii="宋体" w:hAnsi="宋体" w:eastAsia="宋体" w:cs="宋体"/>
          <w:sz w:val="24"/>
          <w:szCs w:val="24"/>
        </w:rPr>
      </w:pPr>
      <w:r>
        <w:rPr>
          <w:rFonts w:hint="eastAsia" w:ascii="宋体" w:hAnsi="宋体" w:eastAsia="宋体" w:cs="宋体"/>
          <w:sz w:val="24"/>
          <w:szCs w:val="24"/>
        </w:rPr>
        <w:t>Toup View软件系统（国产，北京拓普视野科技有限公司）</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bookmarkStart w:id="101" w:name="_Toc30391"/>
      <w:bookmarkStart w:id="102" w:name="_Toc15925"/>
      <w:bookmarkStart w:id="103" w:name="_Toc4668"/>
      <w:bookmarkStart w:id="104" w:name="_Toc9122"/>
      <w:bookmarkStart w:id="105" w:name="_Toc15877"/>
      <w:bookmarkStart w:id="106" w:name="_Toc13355"/>
      <w:bookmarkStart w:id="107" w:name="_Toc29208"/>
      <w:bookmarkStart w:id="108" w:name="_Toc20823"/>
      <w:bookmarkStart w:id="109" w:name="_Toc14620"/>
      <w:bookmarkStart w:id="110" w:name="_Toc18792"/>
      <w:bookmarkStart w:id="111" w:name="_Toc27511"/>
      <w:bookmarkStart w:id="112" w:name="_Toc19571"/>
      <w:bookmarkStart w:id="113" w:name="_Toc17310"/>
      <w:bookmarkStart w:id="114" w:name="_Toc10776"/>
      <w:bookmarkStart w:id="115" w:name="_Toc22348"/>
      <w:bookmarkStart w:id="116" w:name="_Toc16346"/>
      <w:bookmarkStart w:id="117" w:name="_Toc27418"/>
      <w:bookmarkStart w:id="118" w:name="_Toc16088"/>
      <w:bookmarkStart w:id="119" w:name="_Toc31165"/>
      <w:bookmarkStart w:id="120" w:name="_Toc6125"/>
      <w:r>
        <w:rPr>
          <w:rFonts w:hint="eastAsia" w:ascii="宋体" w:hAnsi="宋体" w:eastAsia="宋体" w:cs="宋体"/>
          <w:kern w:val="0"/>
          <w:sz w:val="24"/>
          <w:szCs w:val="24"/>
          <w:lang w:val="en-US" w:eastAsia="zh-CN" w:bidi="ar-SA"/>
        </w:rPr>
        <w:t>3.1.5  试剂配制</w:t>
      </w:r>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p>
    <w:p>
      <w:pPr>
        <w:widowControl w:val="0"/>
        <w:spacing w:beforeAutospacing="1" w:afterAutospacing="1" w:line="360" w:lineRule="auto"/>
        <w:jc w:val="left"/>
        <w:outlineLvl w:val="2"/>
        <w:rPr>
          <w:rFonts w:hint="eastAsia" w:ascii="宋体" w:hAnsi="宋体" w:eastAsia="宋体" w:cs="宋体"/>
          <w:bCs/>
          <w:color w:val="000000"/>
          <w:sz w:val="24"/>
          <w:szCs w:val="24"/>
        </w:rPr>
      </w:pP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lang w:val="en-US" w:eastAsia="zh-CN"/>
        </w:rPr>
        <w:t>1</w:t>
      </w:r>
      <w:r>
        <w:rPr>
          <w:rFonts w:hint="eastAsia" w:ascii="宋体" w:hAnsi="宋体" w:eastAsia="宋体" w:cs="宋体"/>
          <w:bCs/>
          <w:color w:val="000000"/>
          <w:sz w:val="24"/>
          <w:szCs w:val="24"/>
          <w:lang w:eastAsia="zh-CN"/>
        </w:rPr>
        <w:t>）</w:t>
      </w:r>
      <w:r>
        <w:rPr>
          <w:rFonts w:hint="eastAsia" w:ascii="宋体" w:hAnsi="宋体" w:eastAsia="宋体" w:cs="宋体"/>
          <w:bCs/>
          <w:color w:val="000000"/>
          <w:sz w:val="24"/>
          <w:szCs w:val="24"/>
        </w:rPr>
        <w:t>PZM-3培养液配制：</w:t>
      </w:r>
    </w:p>
    <w:p>
      <w:pPr>
        <w:numPr>
          <w:ilvl w:val="255"/>
          <w:numId w:val="0"/>
        </w:numPr>
        <w:tabs>
          <w:tab w:val="left" w:pos="420"/>
        </w:tabs>
        <w:adjustRightInd w:val="0"/>
        <w:snapToGrid w:val="0"/>
        <w:spacing w:line="360" w:lineRule="auto"/>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表1  PZM-3胚胎培养液</w:t>
      </w:r>
    </w:p>
    <w:p>
      <w:pPr>
        <w:numPr>
          <w:ilvl w:val="255"/>
          <w:numId w:val="0"/>
        </w:numPr>
        <w:tabs>
          <w:tab w:val="left" w:pos="420"/>
        </w:tabs>
        <w:adjustRightInd w:val="0"/>
        <w:snapToGrid w:val="0"/>
        <w:spacing w:line="360" w:lineRule="auto"/>
        <w:jc w:val="center"/>
        <w:rPr>
          <w:rFonts w:hint="eastAsia" w:ascii="宋体" w:hAnsi="宋体" w:eastAsia="宋体" w:cs="宋体"/>
          <w:bCs/>
          <w:color w:val="000000"/>
          <w:sz w:val="24"/>
          <w:szCs w:val="24"/>
        </w:rPr>
      </w:pPr>
      <w:r>
        <w:rPr>
          <w:rFonts w:hint="eastAsia" w:ascii="宋体" w:hAnsi="宋体" w:eastAsia="宋体" w:cs="宋体"/>
          <w:bCs/>
          <w:color w:val="000000"/>
          <w:sz w:val="24"/>
          <w:szCs w:val="24"/>
        </w:rPr>
        <w:t>Table 1  PZM-3 Culture medium</w:t>
      </w:r>
    </w:p>
    <w:tbl>
      <w:tblPr>
        <w:tblStyle w:val="9"/>
        <w:tblW w:w="4999"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358"/>
        <w:gridCol w:w="2496"/>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tcBorders>
              <w:bottom w:val="single" w:color="auto" w:sz="4" w:space="0"/>
            </w:tcBorders>
            <w:vAlign w:val="center"/>
          </w:tcPr>
          <w:p>
            <w:pPr>
              <w:widowControl/>
              <w:numPr>
                <w:ilvl w:val="255"/>
                <w:numId w:val="0"/>
              </w:numPr>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Chemical</w:t>
            </w:r>
          </w:p>
        </w:tc>
        <w:tc>
          <w:tcPr>
            <w:tcW w:w="1409" w:type="pct"/>
            <w:tcBorders>
              <w:bottom w:val="single" w:color="auto" w:sz="4" w:space="0"/>
            </w:tcBorders>
            <w:vAlign w:val="center"/>
          </w:tcPr>
          <w:p>
            <w:pPr>
              <w:widowControl/>
              <w:numPr>
                <w:ilvl w:val="255"/>
                <w:numId w:val="0"/>
              </w:numPr>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g/100 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tcBorders>
              <w:top w:val="single" w:color="auto" w:sz="4" w:space="0"/>
            </w:tcBorders>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NaCl</w:t>
            </w:r>
          </w:p>
        </w:tc>
        <w:tc>
          <w:tcPr>
            <w:tcW w:w="1409" w:type="pct"/>
            <w:tcBorders>
              <w:top w:val="single" w:color="auto" w:sz="4" w:space="0"/>
            </w:tcBorders>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0.6312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KCl</w:t>
            </w:r>
          </w:p>
        </w:tc>
        <w:tc>
          <w:tcPr>
            <w:tcW w:w="1409" w:type="pct"/>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0.0746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KH</w:t>
            </w:r>
            <w:r>
              <w:rPr>
                <w:rFonts w:hint="eastAsia" w:ascii="宋体" w:hAnsi="宋体" w:eastAsia="宋体" w:cs="宋体"/>
                <w:color w:val="000000"/>
                <w:kern w:val="0"/>
                <w:sz w:val="24"/>
                <w:szCs w:val="24"/>
                <w:vertAlign w:val="subscript"/>
                <w:lang w:bidi="ar"/>
              </w:rPr>
              <w:t>2</w:t>
            </w:r>
            <w:r>
              <w:rPr>
                <w:rFonts w:hint="eastAsia" w:ascii="宋体" w:hAnsi="宋体" w:eastAsia="宋体" w:cs="宋体"/>
                <w:color w:val="000000"/>
                <w:kern w:val="0"/>
                <w:sz w:val="24"/>
                <w:szCs w:val="24"/>
                <w:lang w:bidi="ar"/>
              </w:rPr>
              <w:t>PO</w:t>
            </w:r>
            <w:r>
              <w:rPr>
                <w:rFonts w:hint="eastAsia" w:ascii="宋体" w:hAnsi="宋体" w:eastAsia="宋体" w:cs="宋体"/>
                <w:color w:val="000000"/>
                <w:kern w:val="0"/>
                <w:sz w:val="24"/>
                <w:szCs w:val="24"/>
                <w:vertAlign w:val="subscript"/>
                <w:lang w:bidi="ar"/>
              </w:rPr>
              <w:t>4</w:t>
            </w:r>
          </w:p>
        </w:tc>
        <w:tc>
          <w:tcPr>
            <w:tcW w:w="1409" w:type="pct"/>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0.0048</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widowControl/>
              <w:numPr>
                <w:ilvl w:val="255"/>
                <w:numId w:val="0"/>
              </w:numPr>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MgSO</w:t>
            </w:r>
            <w:r>
              <w:rPr>
                <w:rFonts w:hint="eastAsia" w:ascii="宋体" w:hAnsi="宋体" w:eastAsia="宋体" w:cs="宋体"/>
                <w:color w:val="000000"/>
                <w:kern w:val="0"/>
                <w:sz w:val="24"/>
                <w:szCs w:val="24"/>
                <w:vertAlign w:val="subscript"/>
                <w:lang w:bidi="ar"/>
              </w:rPr>
              <w:t>4</w:t>
            </w:r>
            <w:r>
              <w:rPr>
                <w:rFonts w:hint="eastAsia" w:ascii="宋体" w:hAnsi="宋体" w:eastAsia="宋体" w:cs="宋体"/>
                <w:color w:val="000000"/>
                <w:kern w:val="0"/>
                <w:sz w:val="24"/>
                <w:szCs w:val="24"/>
                <w:lang w:bidi="ar"/>
              </w:rPr>
              <w:t>.7H</w:t>
            </w:r>
            <w:r>
              <w:rPr>
                <w:rFonts w:hint="eastAsia" w:ascii="宋体" w:hAnsi="宋体" w:eastAsia="宋体" w:cs="宋体"/>
                <w:color w:val="000000"/>
                <w:kern w:val="0"/>
                <w:sz w:val="24"/>
                <w:szCs w:val="24"/>
                <w:vertAlign w:val="subscript"/>
                <w:lang w:bidi="ar"/>
              </w:rPr>
              <w:t>2</w:t>
            </w:r>
            <w:r>
              <w:rPr>
                <w:rFonts w:hint="eastAsia" w:ascii="宋体" w:hAnsi="宋体" w:eastAsia="宋体" w:cs="宋体"/>
                <w:color w:val="000000"/>
                <w:kern w:val="0"/>
                <w:sz w:val="24"/>
                <w:szCs w:val="24"/>
                <w:lang w:bidi="ar"/>
              </w:rPr>
              <w:t>O</w:t>
            </w:r>
          </w:p>
        </w:tc>
        <w:tc>
          <w:tcPr>
            <w:tcW w:w="1409" w:type="pct"/>
            <w:vAlign w:val="center"/>
          </w:tcPr>
          <w:p>
            <w:pPr>
              <w:widowControl/>
              <w:numPr>
                <w:ilvl w:val="255"/>
                <w:numId w:val="0"/>
              </w:numPr>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0.0099</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widowControl/>
              <w:numPr>
                <w:ilvl w:val="255"/>
                <w:numId w:val="0"/>
              </w:numPr>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NaHCO</w:t>
            </w:r>
            <w:r>
              <w:rPr>
                <w:rFonts w:hint="eastAsia" w:ascii="宋体" w:hAnsi="宋体" w:eastAsia="宋体" w:cs="宋体"/>
                <w:color w:val="000000"/>
                <w:kern w:val="0"/>
                <w:sz w:val="24"/>
                <w:szCs w:val="24"/>
                <w:vertAlign w:val="subscript"/>
                <w:lang w:bidi="ar"/>
              </w:rPr>
              <w:t>3</w:t>
            </w:r>
          </w:p>
        </w:tc>
        <w:tc>
          <w:tcPr>
            <w:tcW w:w="1409" w:type="pct"/>
            <w:vAlign w:val="center"/>
          </w:tcPr>
          <w:p>
            <w:pPr>
              <w:widowControl/>
              <w:numPr>
                <w:ilvl w:val="255"/>
                <w:numId w:val="0"/>
              </w:numPr>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0.2106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Na-Pyruvate</w:t>
            </w:r>
          </w:p>
        </w:tc>
        <w:tc>
          <w:tcPr>
            <w:tcW w:w="1409" w:type="pct"/>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0.0022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Ca-(Lactate)</w:t>
            </w:r>
            <w:r>
              <w:rPr>
                <w:rFonts w:hint="eastAsia" w:ascii="宋体" w:hAnsi="宋体" w:eastAsia="宋体" w:cs="宋体"/>
                <w:color w:val="000000"/>
                <w:kern w:val="0"/>
                <w:sz w:val="24"/>
                <w:szCs w:val="24"/>
                <w:vertAlign w:val="subscript"/>
                <w:lang w:bidi="ar"/>
              </w:rPr>
              <w:t>2</w:t>
            </w:r>
            <w:r>
              <w:rPr>
                <w:rFonts w:hint="eastAsia" w:ascii="宋体" w:hAnsi="宋体" w:eastAsia="宋体" w:cs="宋体"/>
                <w:color w:val="000000"/>
                <w:kern w:val="0"/>
                <w:sz w:val="24"/>
                <w:szCs w:val="24"/>
                <w:lang w:bidi="ar"/>
              </w:rPr>
              <w:t>.5H</w:t>
            </w:r>
            <w:r>
              <w:rPr>
                <w:rFonts w:hint="eastAsia" w:ascii="宋体" w:hAnsi="宋体" w:eastAsia="宋体" w:cs="宋体"/>
                <w:color w:val="000000"/>
                <w:kern w:val="0"/>
                <w:sz w:val="24"/>
                <w:szCs w:val="24"/>
                <w:vertAlign w:val="subscript"/>
                <w:lang w:bidi="ar"/>
              </w:rPr>
              <w:t>2</w:t>
            </w:r>
            <w:r>
              <w:rPr>
                <w:rFonts w:hint="eastAsia" w:ascii="宋体" w:hAnsi="宋体" w:eastAsia="宋体" w:cs="宋体"/>
                <w:color w:val="000000"/>
                <w:kern w:val="0"/>
                <w:sz w:val="24"/>
                <w:szCs w:val="24"/>
                <w:lang w:bidi="ar"/>
              </w:rPr>
              <w:t>O</w:t>
            </w:r>
          </w:p>
        </w:tc>
        <w:tc>
          <w:tcPr>
            <w:tcW w:w="1409" w:type="pct"/>
            <w:vAlign w:val="center"/>
          </w:tcPr>
          <w:p>
            <w:pPr>
              <w:numPr>
                <w:ilvl w:val="255"/>
                <w:numId w:val="0"/>
              </w:numPr>
              <w:tabs>
                <w:tab w:val="left" w:pos="420"/>
              </w:tabs>
              <w:jc w:val="center"/>
              <w:rPr>
                <w:rFonts w:hint="eastAsia" w:ascii="宋体" w:hAnsi="宋体" w:eastAsia="宋体" w:cs="宋体"/>
                <w:bCs/>
                <w:color w:val="000000"/>
                <w:sz w:val="24"/>
                <w:szCs w:val="24"/>
                <w:highlight w:val="magenta"/>
              </w:rPr>
            </w:pPr>
            <w:r>
              <w:rPr>
                <w:rFonts w:hint="eastAsia" w:ascii="宋体" w:hAnsi="宋体" w:eastAsia="宋体" w:cs="宋体"/>
                <w:color w:val="000000"/>
                <w:kern w:val="0"/>
                <w:sz w:val="24"/>
                <w:szCs w:val="24"/>
                <w:lang w:bidi="ar"/>
              </w:rPr>
              <w:t>0.</w:t>
            </w:r>
            <w:r>
              <w:rPr>
                <w:rFonts w:hint="eastAsia" w:ascii="宋体" w:hAnsi="宋体" w:eastAsia="宋体" w:cs="宋体"/>
                <w:bCs/>
                <w:color w:val="000000"/>
                <w:sz w:val="24"/>
                <w:szCs w:val="24"/>
                <w:lang w:bidi="ar"/>
              </w:rPr>
              <w:t>0617</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widowControl/>
              <w:numPr>
                <w:ilvl w:val="255"/>
                <w:numId w:val="0"/>
              </w:numPr>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L-Glutaurine</w:t>
            </w:r>
          </w:p>
        </w:tc>
        <w:tc>
          <w:tcPr>
            <w:tcW w:w="1409"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0.0146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Hypotaurine</w:t>
            </w:r>
          </w:p>
        </w:tc>
        <w:tc>
          <w:tcPr>
            <w:tcW w:w="1409"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0.0546</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BME</w:t>
            </w:r>
          </w:p>
        </w:tc>
        <w:tc>
          <w:tcPr>
            <w:tcW w:w="1409"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 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MEM</w:t>
            </w:r>
          </w:p>
        </w:tc>
        <w:tc>
          <w:tcPr>
            <w:tcW w:w="1409"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 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Gentamicin (mg/mL)</w:t>
            </w:r>
          </w:p>
        </w:tc>
        <w:tc>
          <w:tcPr>
            <w:tcW w:w="1409"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0.0050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Fatty acid free BSA (mg/mL)</w:t>
            </w:r>
          </w:p>
        </w:tc>
        <w:tc>
          <w:tcPr>
            <w:tcW w:w="1409"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Osmolarity (mOsm)</w:t>
            </w:r>
          </w:p>
        </w:tc>
        <w:tc>
          <w:tcPr>
            <w:tcW w:w="1409"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288±2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3590"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pH</w:t>
            </w:r>
          </w:p>
        </w:tc>
        <w:tc>
          <w:tcPr>
            <w:tcW w:w="1409"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7.3±0.2</w:t>
            </w:r>
          </w:p>
        </w:tc>
      </w:tr>
    </w:tbl>
    <w:p>
      <w:pPr>
        <w:numPr>
          <w:ilvl w:val="255"/>
          <w:numId w:val="0"/>
        </w:numPr>
        <w:tabs>
          <w:tab w:val="left" w:pos="420"/>
        </w:tabs>
        <w:spacing w:line="360" w:lineRule="auto"/>
        <w:jc w:val="left"/>
        <w:rPr>
          <w:rFonts w:hint="eastAsia" w:ascii="宋体" w:hAnsi="宋体" w:eastAsia="宋体" w:cs="宋体"/>
          <w:bCs/>
          <w:color w:val="000000"/>
          <w:sz w:val="24"/>
          <w:szCs w:val="24"/>
        </w:rPr>
      </w:pPr>
    </w:p>
    <w:p>
      <w:pPr>
        <w:numPr>
          <w:ilvl w:val="0"/>
          <w:numId w:val="0"/>
        </w:numPr>
        <w:tabs>
          <w:tab w:val="left" w:pos="420"/>
        </w:tabs>
        <w:spacing w:line="360" w:lineRule="auto"/>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w:t>
      </w:r>
      <w:r>
        <w:rPr>
          <w:rFonts w:hint="eastAsia" w:ascii="宋体" w:hAnsi="宋体" w:eastAsia="宋体" w:cs="宋体"/>
          <w:sz w:val="24"/>
          <w:szCs w:val="24"/>
        </w:rPr>
        <w:t>TCM-199操作液配制：</w:t>
      </w:r>
    </w:p>
    <w:p>
      <w:pPr>
        <w:numPr>
          <w:ilvl w:val="255"/>
          <w:numId w:val="0"/>
        </w:numPr>
        <w:tabs>
          <w:tab w:val="left" w:pos="420"/>
        </w:tabs>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表2  TCM-199操作液</w:t>
      </w:r>
    </w:p>
    <w:p>
      <w:pPr>
        <w:numPr>
          <w:ilvl w:val="255"/>
          <w:numId w:val="0"/>
        </w:numPr>
        <w:tabs>
          <w:tab w:val="left" w:pos="420"/>
        </w:tabs>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color w:val="000000"/>
          <w:sz w:val="24"/>
          <w:szCs w:val="24"/>
        </w:rPr>
        <w:t xml:space="preserve">Table 2  </w:t>
      </w:r>
      <w:r>
        <w:rPr>
          <w:rFonts w:hint="eastAsia" w:ascii="宋体" w:hAnsi="宋体" w:eastAsia="宋体" w:cs="宋体"/>
          <w:sz w:val="24"/>
          <w:szCs w:val="24"/>
        </w:rPr>
        <w:t xml:space="preserve">TCM-199 </w:t>
      </w:r>
      <w:r>
        <w:rPr>
          <w:rFonts w:hint="eastAsia" w:ascii="宋体" w:hAnsi="宋体" w:eastAsia="宋体" w:cs="宋体"/>
          <w:color w:val="000000"/>
          <w:sz w:val="24"/>
          <w:szCs w:val="24"/>
        </w:rPr>
        <w:t>Manipulation medium</w:t>
      </w:r>
    </w:p>
    <w:tbl>
      <w:tblPr>
        <w:tblStyle w:val="9"/>
        <w:tblW w:w="4999"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427"/>
        <w:gridCol w:w="3427"/>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tcBorders>
              <w:bottom w:val="single" w:color="auto" w:sz="4" w:space="0"/>
            </w:tcBorders>
            <w:vAlign w:val="center"/>
          </w:tcPr>
          <w:p>
            <w:pPr>
              <w:numPr>
                <w:ilvl w:val="255"/>
                <w:numId w:val="0"/>
              </w:numPr>
              <w:tabs>
                <w:tab w:val="left" w:pos="420"/>
              </w:tabs>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Chemical</w:t>
            </w:r>
          </w:p>
        </w:tc>
        <w:tc>
          <w:tcPr>
            <w:tcW w:w="1935" w:type="pct"/>
            <w:tcBorders>
              <w:bottom w:val="single" w:color="auto" w:sz="4" w:space="0"/>
            </w:tcBorders>
            <w:vAlign w:val="center"/>
          </w:tcPr>
          <w:p>
            <w:pPr>
              <w:numPr>
                <w:ilvl w:val="255"/>
                <w:numId w:val="0"/>
              </w:numPr>
              <w:tabs>
                <w:tab w:val="left" w:pos="420"/>
              </w:tabs>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g/100 mL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tcBorders>
              <w:top w:val="single" w:color="auto" w:sz="4" w:space="0"/>
            </w:tcBorders>
            <w:vAlign w:val="center"/>
          </w:tcPr>
          <w:p>
            <w:pPr>
              <w:numPr>
                <w:ilvl w:val="255"/>
                <w:numId w:val="0"/>
              </w:numPr>
              <w:tabs>
                <w:tab w:val="left" w:pos="420"/>
              </w:tabs>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TCM-199</w:t>
            </w:r>
          </w:p>
        </w:tc>
        <w:tc>
          <w:tcPr>
            <w:tcW w:w="1935" w:type="pct"/>
            <w:tcBorders>
              <w:top w:val="single" w:color="auto" w:sz="4" w:space="0"/>
            </w:tcBorders>
            <w:vAlign w:val="center"/>
          </w:tcPr>
          <w:p>
            <w:pPr>
              <w:numPr>
                <w:ilvl w:val="255"/>
                <w:numId w:val="0"/>
              </w:numPr>
              <w:tabs>
                <w:tab w:val="left" w:pos="420"/>
              </w:tabs>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9.500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vAlign w:val="center"/>
          </w:tcPr>
          <w:p>
            <w:pPr>
              <w:numPr>
                <w:ilvl w:val="255"/>
                <w:numId w:val="0"/>
              </w:numPr>
              <w:tabs>
                <w:tab w:val="left" w:pos="420"/>
              </w:tabs>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NaHCO</w:t>
            </w:r>
            <w:r>
              <w:rPr>
                <w:rFonts w:hint="eastAsia" w:ascii="宋体" w:hAnsi="宋体" w:eastAsia="宋体" w:cs="宋体"/>
                <w:color w:val="000000"/>
                <w:kern w:val="0"/>
                <w:sz w:val="24"/>
                <w:szCs w:val="24"/>
                <w:vertAlign w:val="subscript"/>
                <w:lang w:bidi="ar"/>
              </w:rPr>
              <w:t>3</w:t>
            </w:r>
          </w:p>
        </w:tc>
        <w:tc>
          <w:tcPr>
            <w:tcW w:w="1935" w:type="pct"/>
            <w:vAlign w:val="center"/>
          </w:tcPr>
          <w:p>
            <w:pPr>
              <w:numPr>
                <w:ilvl w:val="255"/>
                <w:numId w:val="0"/>
              </w:numPr>
              <w:tabs>
                <w:tab w:val="left" w:pos="420"/>
              </w:tabs>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0.050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vAlign w:val="center"/>
          </w:tcPr>
          <w:p>
            <w:pPr>
              <w:numPr>
                <w:ilvl w:val="255"/>
                <w:numId w:val="0"/>
              </w:numPr>
              <w:tabs>
                <w:tab w:val="left" w:pos="420"/>
              </w:tabs>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Hepes</w:t>
            </w:r>
          </w:p>
        </w:tc>
        <w:tc>
          <w:tcPr>
            <w:tcW w:w="1935" w:type="pct"/>
            <w:vAlign w:val="center"/>
          </w:tcPr>
          <w:p>
            <w:pPr>
              <w:numPr>
                <w:ilvl w:val="255"/>
                <w:numId w:val="0"/>
              </w:numPr>
              <w:tabs>
                <w:tab w:val="left" w:pos="420"/>
              </w:tabs>
              <w:jc w:val="center"/>
              <w:rPr>
                <w:rFonts w:hint="eastAsia" w:ascii="宋体" w:hAnsi="宋体" w:eastAsia="宋体" w:cs="宋体"/>
                <w:sz w:val="24"/>
                <w:szCs w:val="24"/>
              </w:rPr>
            </w:pPr>
            <w:r>
              <w:rPr>
                <w:rFonts w:hint="eastAsia" w:ascii="宋体" w:hAnsi="宋体" w:eastAsia="宋体" w:cs="宋体"/>
                <w:color w:val="000000"/>
                <w:kern w:val="0"/>
                <w:sz w:val="24"/>
                <w:szCs w:val="24"/>
                <w:lang w:bidi="ar"/>
              </w:rPr>
              <w:t>0.750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NaCl</w:t>
            </w:r>
          </w:p>
        </w:tc>
        <w:tc>
          <w:tcPr>
            <w:tcW w:w="1935"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1.855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Penicillin G</w:t>
            </w:r>
          </w:p>
        </w:tc>
        <w:tc>
          <w:tcPr>
            <w:tcW w:w="1935"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0.050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Streptomycin</w:t>
            </w:r>
          </w:p>
        </w:tc>
        <w:tc>
          <w:tcPr>
            <w:tcW w:w="1935"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0.060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BSA</w:t>
            </w:r>
          </w:p>
        </w:tc>
        <w:tc>
          <w:tcPr>
            <w:tcW w:w="1935"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3.0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Osmolarity (mOsm)</w:t>
            </w:r>
          </w:p>
        </w:tc>
        <w:tc>
          <w:tcPr>
            <w:tcW w:w="1935"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280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cantSplit/>
        </w:trPr>
        <w:tc>
          <w:tcPr>
            <w:tcW w:w="3064"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pH</w:t>
            </w:r>
          </w:p>
        </w:tc>
        <w:tc>
          <w:tcPr>
            <w:tcW w:w="1935" w:type="pct"/>
            <w:vAlign w:val="center"/>
          </w:tcPr>
          <w:p>
            <w:pPr>
              <w:numPr>
                <w:ilvl w:val="255"/>
                <w:numId w:val="0"/>
              </w:numPr>
              <w:tabs>
                <w:tab w:val="left" w:pos="420"/>
              </w:tabs>
              <w:jc w:val="center"/>
              <w:rPr>
                <w:rFonts w:hint="eastAsia" w:ascii="宋体" w:hAnsi="宋体" w:eastAsia="宋体" w:cs="宋体"/>
                <w:color w:val="000000"/>
                <w:kern w:val="0"/>
                <w:sz w:val="24"/>
                <w:szCs w:val="24"/>
                <w:lang w:bidi="ar"/>
              </w:rPr>
            </w:pPr>
            <w:r>
              <w:rPr>
                <w:rFonts w:hint="eastAsia" w:ascii="宋体" w:hAnsi="宋体" w:eastAsia="宋体" w:cs="宋体"/>
                <w:color w:val="000000"/>
                <w:kern w:val="0"/>
                <w:sz w:val="24"/>
                <w:szCs w:val="24"/>
                <w:lang w:bidi="ar"/>
              </w:rPr>
              <w:t>7.2-7.4</w:t>
            </w:r>
          </w:p>
        </w:tc>
      </w:tr>
    </w:tbl>
    <w:p>
      <w:pPr>
        <w:keepNext/>
        <w:keepLines/>
        <w:widowControl w:val="0"/>
        <w:spacing w:before="260" w:after="260" w:line="360" w:lineRule="auto"/>
        <w:jc w:val="left"/>
        <w:outlineLvl w:val="1"/>
        <w:rPr>
          <w:rFonts w:hint="eastAsia" w:ascii="宋体" w:hAnsi="宋体" w:eastAsia="宋体" w:cs="宋体"/>
          <w:kern w:val="0"/>
          <w:sz w:val="24"/>
          <w:szCs w:val="24"/>
          <w:lang w:val="en-US" w:eastAsia="zh-CN" w:bidi="ar-SA"/>
        </w:rPr>
      </w:pPr>
      <w:bookmarkStart w:id="121" w:name="_Toc27979"/>
      <w:bookmarkStart w:id="122" w:name="_Toc11405"/>
      <w:bookmarkStart w:id="123" w:name="_Toc29400"/>
      <w:bookmarkStart w:id="124" w:name="_Toc15934"/>
      <w:bookmarkStart w:id="125" w:name="_Toc19219"/>
      <w:bookmarkStart w:id="126" w:name="_Toc16484"/>
      <w:bookmarkStart w:id="127" w:name="_Toc6797"/>
      <w:bookmarkStart w:id="128" w:name="_Toc2807"/>
      <w:bookmarkStart w:id="129" w:name="_Toc15913"/>
      <w:bookmarkStart w:id="130" w:name="_Toc24662"/>
      <w:bookmarkStart w:id="131" w:name="_Toc28815"/>
      <w:bookmarkStart w:id="132" w:name="_Toc2051"/>
      <w:bookmarkStart w:id="133" w:name="_Toc9443"/>
      <w:bookmarkStart w:id="134" w:name="_Toc5819"/>
      <w:bookmarkStart w:id="135" w:name="_Toc28266"/>
      <w:bookmarkStart w:id="136" w:name="_Toc10162"/>
      <w:bookmarkStart w:id="137" w:name="_Toc1638"/>
      <w:bookmarkStart w:id="138" w:name="_Toc14585"/>
      <w:bookmarkStart w:id="139" w:name="_Toc25814"/>
      <w:bookmarkStart w:id="140" w:name="_Toc1375"/>
      <w:r>
        <w:rPr>
          <w:rFonts w:hint="eastAsia" w:ascii="宋体" w:hAnsi="宋体" w:eastAsia="宋体" w:cs="宋体"/>
          <w:b/>
          <w:bCs/>
          <w:kern w:val="2"/>
          <w:sz w:val="24"/>
          <w:szCs w:val="24"/>
          <w:lang w:val="en-US" w:eastAsia="zh-CN" w:bidi="ar-SA"/>
        </w:rPr>
        <w:t>3.2  实验方法</w:t>
      </w:r>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pPr>
        <w:pStyle w:val="4"/>
        <w:bidi w:val="0"/>
        <w:rPr>
          <w:rFonts w:hint="eastAsia" w:ascii="宋体" w:hAnsi="宋体" w:eastAsia="宋体" w:cs="宋体"/>
          <w:b w:val="0"/>
          <w:bCs/>
          <w:sz w:val="24"/>
          <w:szCs w:val="24"/>
        </w:rPr>
      </w:pPr>
      <w:r>
        <w:rPr>
          <w:rFonts w:hint="eastAsia" w:ascii="宋体" w:hAnsi="宋体" w:eastAsia="宋体" w:cs="宋体"/>
          <w:b w:val="0"/>
          <w:bCs/>
          <w:sz w:val="24"/>
          <w:szCs w:val="24"/>
          <w:lang w:val="en-US" w:eastAsia="zh-CN"/>
        </w:rPr>
        <w:t>3</w:t>
      </w:r>
      <w:r>
        <w:rPr>
          <w:rFonts w:hint="eastAsia" w:ascii="宋体" w:hAnsi="宋体" w:eastAsia="宋体" w:cs="宋体"/>
          <w:b w:val="0"/>
          <w:bCs/>
          <w:sz w:val="24"/>
          <w:szCs w:val="24"/>
        </w:rPr>
        <w:t>.2.1  设计和构建CRISPR/Cas9系统</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（1）首先通过Ensembl genome browser数据库了解猪的</w:t>
      </w:r>
      <w:r>
        <w:rPr>
          <w:rFonts w:hint="eastAsia" w:ascii="宋体" w:hAnsi="宋体" w:eastAsia="宋体" w:cs="宋体"/>
          <w:i/>
          <w:sz w:val="24"/>
          <w:szCs w:val="24"/>
        </w:rPr>
        <w:t>TYR</w:t>
      </w:r>
      <w:r>
        <w:rPr>
          <w:rFonts w:hint="eastAsia" w:ascii="宋体" w:hAnsi="宋体" w:eastAsia="宋体" w:cs="宋体"/>
          <w:sz w:val="24"/>
          <w:szCs w:val="24"/>
        </w:rPr>
        <w:t>基因的基因序列（尤其是外显子序列及编码区）及蛋白结构功能，选择合适的敲除基因位点。注意：不同猪种间的基因序列可能突变差异，应以本实验西藏小型猪的测序结果为准，不应完全按照网上数据库。</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（2）通过在线网站（http://crispor.tefor.net/）针对西藏小型猪的</w:t>
      </w:r>
      <w:r>
        <w:rPr>
          <w:rFonts w:hint="eastAsia" w:ascii="宋体" w:hAnsi="宋体" w:eastAsia="宋体" w:cs="宋体"/>
          <w:i/>
          <w:sz w:val="24"/>
          <w:szCs w:val="24"/>
        </w:rPr>
        <w:t>TYR</w:t>
      </w:r>
      <w:r>
        <w:rPr>
          <w:rFonts w:hint="eastAsia" w:ascii="宋体" w:hAnsi="宋体" w:eastAsia="宋体" w:cs="宋体"/>
          <w:sz w:val="24"/>
          <w:szCs w:val="24"/>
        </w:rPr>
        <w:t>基因序列设计sgRNA。</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（3）根据设计的sgRNA序列，设计出反向互补的双链，并在双链上分别添加与sgRNA空载连接的接头，则需成在上链的5’端前面添加CCGG，需在下链的5’端前面添加AAAC，合成带接头的oligos（表</w:t>
      </w:r>
      <w:r>
        <w:rPr>
          <w:rFonts w:hint="eastAsia" w:ascii="宋体" w:hAnsi="宋体" w:eastAsia="宋体" w:cs="宋体"/>
          <w:sz w:val="24"/>
          <w:szCs w:val="24"/>
          <w:lang w:val="en-US" w:eastAsia="zh-CN"/>
        </w:rPr>
        <w:t>3</w:t>
      </w:r>
      <w:r>
        <w:rPr>
          <w:rFonts w:hint="eastAsia" w:ascii="宋体" w:hAnsi="宋体" w:eastAsia="宋体" w:cs="宋体"/>
          <w:sz w:val="24"/>
          <w:szCs w:val="24"/>
        </w:rPr>
        <w:t>）。</w:t>
      </w:r>
    </w:p>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oligos序列</w:t>
      </w:r>
    </w:p>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Table </w:t>
      </w: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O</w:t>
      </w:r>
      <w:r>
        <w:rPr>
          <w:rFonts w:hint="eastAsia" w:ascii="宋体" w:hAnsi="宋体" w:eastAsia="宋体" w:cs="宋体"/>
          <w:sz w:val="24"/>
          <w:szCs w:val="24"/>
        </w:rPr>
        <w:t>ligos sequence</w:t>
      </w:r>
    </w:p>
    <w:tbl>
      <w:tblPr>
        <w:tblStyle w:val="9"/>
        <w:tblW w:w="4998"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621"/>
        <w:gridCol w:w="523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45" w:type="pct"/>
            <w:tcBorders>
              <w:bottom w:val="single" w:color="auto" w:sz="4" w:space="0"/>
            </w:tcBorders>
            <w:vAlign w:val="center"/>
          </w:tcPr>
          <w:p>
            <w:pPr>
              <w:jc w:val="center"/>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Oligos</w:t>
            </w:r>
          </w:p>
        </w:tc>
        <w:tc>
          <w:tcPr>
            <w:tcW w:w="2954" w:type="pct"/>
            <w:tcBorders>
              <w:bottom w:val="single" w:color="auto" w:sz="4" w:space="0"/>
            </w:tcBorders>
            <w:vAlign w:val="center"/>
          </w:tcPr>
          <w:p>
            <w:pPr>
              <w:jc w:val="center"/>
              <w:rPr>
                <w:rFonts w:hint="eastAsia" w:ascii="宋体" w:hAnsi="宋体" w:eastAsia="宋体" w:cs="宋体"/>
                <w:bCs/>
                <w:color w:val="000000"/>
                <w:kern w:val="0"/>
                <w:sz w:val="24"/>
                <w:szCs w:val="24"/>
              </w:rPr>
            </w:pPr>
            <w:r>
              <w:rPr>
                <w:rFonts w:hint="eastAsia" w:ascii="宋体" w:hAnsi="宋体" w:eastAsia="宋体" w:cs="宋体"/>
                <w:bCs/>
                <w:color w:val="000000"/>
                <w:kern w:val="0"/>
                <w:sz w:val="24"/>
                <w:szCs w:val="24"/>
              </w:rPr>
              <w:t xml:space="preserve">序列 </w:t>
            </w:r>
            <w:r>
              <w:rPr>
                <w:rFonts w:hint="eastAsia" w:ascii="宋体" w:hAnsi="宋体" w:eastAsia="宋体" w:cs="宋体"/>
                <w:bCs/>
                <w:color w:val="000000"/>
                <w:sz w:val="24"/>
                <w:szCs w:val="24"/>
              </w:rPr>
              <w:t>（ 5’→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45"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tyr-sg1-top</w:t>
            </w:r>
          </w:p>
        </w:tc>
        <w:tc>
          <w:tcPr>
            <w:tcW w:w="2954" w:type="pct"/>
            <w:tcBorders>
              <w:top w:val="single" w:color="auto" w:sz="4" w:space="0"/>
            </w:tcBorders>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CCGGCAGTGCTTTGGCAACTTCAT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45"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tyr-sg1-bottom</w:t>
            </w:r>
          </w:p>
        </w:tc>
        <w:tc>
          <w:tcPr>
            <w:tcW w:w="2954" w:type="pct"/>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AAACATGAAGTTGCCAAAGCACTG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45"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tyr-sg2-top</w:t>
            </w:r>
          </w:p>
        </w:tc>
        <w:tc>
          <w:tcPr>
            <w:tcW w:w="2954" w:type="pct"/>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CCGGCCGTTCATCCACCCCGGTGA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045"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tyr-sg2-bottom</w:t>
            </w:r>
          </w:p>
        </w:tc>
        <w:tc>
          <w:tcPr>
            <w:tcW w:w="2954" w:type="pct"/>
            <w:vAlign w:val="center"/>
          </w:tcPr>
          <w:p>
            <w:pPr>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AAACTCACCGGGGTGGATGAACGG</w:t>
            </w:r>
          </w:p>
        </w:tc>
      </w:tr>
    </w:tbl>
    <w:p>
      <w:pPr>
        <w:spacing w:line="360" w:lineRule="auto"/>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（4）将oligos磷酸化</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然后</w:t>
      </w:r>
      <w:r>
        <w:rPr>
          <w:rFonts w:hint="eastAsia" w:ascii="宋体" w:hAnsi="宋体" w:eastAsia="宋体" w:cs="宋体"/>
          <w:sz w:val="24"/>
          <w:szCs w:val="24"/>
        </w:rPr>
        <w:t>退火形成带粘性末端的短片段</w:t>
      </w:r>
      <w:r>
        <w:rPr>
          <w:rFonts w:hint="eastAsia" w:ascii="宋体" w:hAnsi="宋体" w:eastAsia="宋体" w:cs="宋体"/>
          <w:sz w:val="24"/>
          <w:szCs w:val="24"/>
          <w:lang w:val="en-US" w:eastAsia="zh-CN"/>
        </w:rPr>
        <w:t>双链</w:t>
      </w:r>
      <w:r>
        <w:rPr>
          <w:rFonts w:hint="eastAsia" w:ascii="宋体" w:hAnsi="宋体" w:eastAsia="宋体" w:cs="宋体"/>
          <w:sz w:val="24"/>
          <w:szCs w:val="24"/>
        </w:rPr>
        <w:t>DNA</w:t>
      </w:r>
      <w:r>
        <w:rPr>
          <w:rFonts w:hint="eastAsia" w:ascii="宋体" w:hAnsi="宋体" w:eastAsia="宋体" w:cs="宋体"/>
          <w:sz w:val="24"/>
          <w:szCs w:val="24"/>
          <w:lang w:eastAsia="zh-CN"/>
        </w:rPr>
        <w:t>。</w:t>
      </w:r>
      <w:r>
        <w:rPr>
          <w:rFonts w:hint="eastAsia" w:ascii="宋体" w:hAnsi="宋体" w:eastAsia="宋体" w:cs="宋体"/>
          <w:sz w:val="24"/>
          <w:szCs w:val="24"/>
        </w:rPr>
        <w:t>反应体系见表4，反应条件为</w:t>
      </w:r>
      <w:r>
        <w:rPr>
          <w:rFonts w:hint="eastAsia" w:ascii="宋体" w:hAnsi="宋体" w:eastAsia="宋体" w:cs="宋体"/>
          <w:sz w:val="24"/>
          <w:szCs w:val="24"/>
          <w:lang w:eastAsia="zh-CN"/>
        </w:rPr>
        <w:t>：</w:t>
      </w:r>
      <w:r>
        <w:rPr>
          <w:rFonts w:hint="eastAsia" w:ascii="宋体" w:hAnsi="宋体" w:eastAsia="宋体" w:cs="宋体"/>
          <w:sz w:val="24"/>
          <w:szCs w:val="24"/>
        </w:rPr>
        <w:t>先在37℃中反应30 min，然后置于装有1 L开水的烧杯中煮沸5 min，最后待烧杯中的水自然冷却至常温后取出反应物。</w:t>
      </w:r>
    </w:p>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表4  PNK退火反应体系</w:t>
      </w:r>
    </w:p>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Table 4-2  PNK annealing reaction system</w:t>
      </w:r>
    </w:p>
    <w:tbl>
      <w:tblPr>
        <w:tblStyle w:val="9"/>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82"/>
        <w:gridCol w:w="237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59" w:type="pct"/>
            <w:tcBorders>
              <w:top w:val="single" w:color="auto" w:sz="4" w:space="0"/>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组分</w:t>
            </w:r>
          </w:p>
        </w:tc>
        <w:tc>
          <w:tcPr>
            <w:tcW w:w="1340" w:type="pct"/>
            <w:tcBorders>
              <w:top w:val="single" w:color="auto" w:sz="4" w:space="0"/>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59" w:type="pct"/>
            <w:tcBorders>
              <w:top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上链oligo</w:t>
            </w:r>
            <w:r>
              <w:rPr>
                <w:rFonts w:hint="eastAsia" w:ascii="宋体" w:hAnsi="宋体" w:eastAsia="宋体" w:cs="宋体"/>
                <w:color w:val="000000"/>
                <w:sz w:val="24"/>
                <w:szCs w:val="24"/>
              </w:rPr>
              <w:t>（100 μM）</w:t>
            </w:r>
          </w:p>
        </w:tc>
        <w:tc>
          <w:tcPr>
            <w:tcW w:w="1340" w:type="pct"/>
            <w:tcBorders>
              <w:top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color w:val="000000"/>
                <w:sz w:val="24"/>
                <w:szCs w:val="24"/>
              </w:rPr>
              <w:t>μL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59"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下链oligo</w:t>
            </w:r>
            <w:r>
              <w:rPr>
                <w:rFonts w:hint="eastAsia" w:ascii="宋体" w:hAnsi="宋体" w:eastAsia="宋体" w:cs="宋体"/>
                <w:color w:val="000000"/>
                <w:sz w:val="24"/>
                <w:szCs w:val="24"/>
              </w:rPr>
              <w:t>（100 μM）</w:t>
            </w:r>
          </w:p>
        </w:tc>
        <w:tc>
          <w:tcPr>
            <w:tcW w:w="1340"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color w:val="000000"/>
                <w:sz w:val="24"/>
                <w:szCs w:val="24"/>
              </w:rPr>
              <w:t>μL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59"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eastAsia="宋体" w:cs="宋体"/>
                <w:color w:val="000000"/>
                <w:sz w:val="24"/>
                <w:szCs w:val="24"/>
              </w:rPr>
              <w:t>×T4连接酶缓冲液</w:t>
            </w:r>
          </w:p>
        </w:tc>
        <w:tc>
          <w:tcPr>
            <w:tcW w:w="1340"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color w:val="000000"/>
                <w:sz w:val="24"/>
                <w:szCs w:val="24"/>
              </w:rPr>
              <w:t>μL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59"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T4 PNK酶</w:t>
            </w:r>
          </w:p>
        </w:tc>
        <w:tc>
          <w:tcPr>
            <w:tcW w:w="1340" w:type="pct"/>
            <w:vAlign w:val="center"/>
          </w:tcPr>
          <w:p>
            <w:pPr>
              <w:jc w:val="center"/>
              <w:rPr>
                <w:rFonts w:hint="eastAsia" w:ascii="宋体" w:hAnsi="宋体" w:eastAsia="宋体" w:cs="宋体"/>
                <w:sz w:val="24"/>
                <w:szCs w:val="24"/>
              </w:rPr>
            </w:pPr>
            <w:r>
              <w:rPr>
                <w:rFonts w:hint="eastAsia" w:ascii="宋体" w:hAnsi="宋体" w:eastAsia="宋体" w:cs="宋体"/>
                <w:color w:val="000000"/>
                <w:sz w:val="24"/>
                <w:szCs w:val="24"/>
              </w:rPr>
              <w:t>0.5 μL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 w:hRule="atLeast"/>
          <w:jc w:val="center"/>
        </w:trPr>
        <w:tc>
          <w:tcPr>
            <w:tcW w:w="3659" w:type="pct"/>
            <w:tcBorders>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水</w:t>
            </w:r>
          </w:p>
        </w:tc>
        <w:tc>
          <w:tcPr>
            <w:tcW w:w="1340" w:type="pct"/>
            <w:tcBorders>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color w:val="000000"/>
                <w:sz w:val="24"/>
                <w:szCs w:val="24"/>
              </w:rPr>
              <w:t>6.5 μL</w:t>
            </w:r>
          </w:p>
        </w:tc>
      </w:tr>
    </w:tbl>
    <w:p>
      <w:pPr>
        <w:spacing w:line="360" w:lineRule="auto"/>
        <w:jc w:val="left"/>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（5）酶切sgRNA克隆载体</w:t>
      </w:r>
      <w:r>
        <w:rPr>
          <w:rFonts w:hint="eastAsia" w:ascii="宋体" w:hAnsi="宋体" w:eastAsia="宋体" w:cs="宋体"/>
          <w:color w:val="000000"/>
          <w:sz w:val="24"/>
          <w:szCs w:val="24"/>
          <w:lang w:val="en-GB"/>
        </w:rPr>
        <w:t>pGL3-U6-gRNA-PGK-puromycin</w:t>
      </w:r>
      <w:r>
        <w:rPr>
          <w:rFonts w:hint="eastAsia" w:ascii="宋体" w:hAnsi="宋体" w:eastAsia="宋体" w:cs="宋体"/>
          <w:sz w:val="24"/>
          <w:szCs w:val="24"/>
        </w:rPr>
        <w:t>，酶切反应体系按表</w:t>
      </w:r>
      <w:r>
        <w:rPr>
          <w:rFonts w:hint="eastAsia" w:ascii="宋体" w:hAnsi="宋体" w:eastAsia="宋体" w:cs="宋体"/>
          <w:sz w:val="24"/>
          <w:szCs w:val="24"/>
          <w:lang w:val="en-US" w:eastAsia="zh-CN"/>
        </w:rPr>
        <w:t>5</w:t>
      </w:r>
      <w:r>
        <w:rPr>
          <w:rFonts w:hint="eastAsia" w:ascii="宋体" w:hAnsi="宋体" w:eastAsia="宋体" w:cs="宋体"/>
          <w:sz w:val="24"/>
          <w:szCs w:val="24"/>
        </w:rPr>
        <w:t>，反应条件为37℃孵育过夜。</w:t>
      </w:r>
    </w:p>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酶切反应体系</w:t>
      </w:r>
    </w:p>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Table </w:t>
      </w:r>
      <w:r>
        <w:rPr>
          <w:rFonts w:hint="eastAsia" w:ascii="宋体" w:hAnsi="宋体" w:eastAsia="宋体" w:cs="宋体"/>
          <w:sz w:val="24"/>
          <w:szCs w:val="24"/>
          <w:lang w:val="en-US" w:eastAsia="zh-CN"/>
        </w:rPr>
        <w:t>5</w:t>
      </w:r>
      <w:r>
        <w:rPr>
          <w:rFonts w:hint="eastAsia" w:ascii="宋体" w:hAnsi="宋体" w:eastAsia="宋体" w:cs="宋体"/>
          <w:sz w:val="24"/>
          <w:szCs w:val="24"/>
        </w:rPr>
        <w:t xml:space="preserve">  Enzymatic reaction system</w:t>
      </w:r>
    </w:p>
    <w:tbl>
      <w:tblPr>
        <w:tblStyle w:val="9"/>
        <w:tblW w:w="4999"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482"/>
        <w:gridCol w:w="237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3660" w:type="pct"/>
            <w:tcBorders>
              <w:top w:val="single" w:color="auto" w:sz="4" w:space="0"/>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组分</w:t>
            </w:r>
          </w:p>
        </w:tc>
        <w:tc>
          <w:tcPr>
            <w:tcW w:w="1339" w:type="pct"/>
            <w:tcBorders>
              <w:top w:val="single" w:color="auto" w:sz="4" w:space="0"/>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体积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3660" w:type="pct"/>
            <w:tcBorders>
              <w:top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color w:val="000000"/>
                <w:sz w:val="24"/>
                <w:szCs w:val="24"/>
                <w:lang w:val="en-GB"/>
              </w:rPr>
              <w:t>pGL3-U6-gRNA-PGK-puromycin</w:t>
            </w:r>
            <w:r>
              <w:rPr>
                <w:rFonts w:hint="eastAsia" w:ascii="宋体" w:hAnsi="宋体" w:eastAsia="宋体" w:cs="宋体"/>
                <w:color w:val="000000"/>
                <w:sz w:val="24"/>
                <w:szCs w:val="24"/>
              </w:rPr>
              <w:t>质粒</w:t>
            </w:r>
          </w:p>
        </w:tc>
        <w:tc>
          <w:tcPr>
            <w:tcW w:w="1339" w:type="pct"/>
            <w:tcBorders>
              <w:top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color w:val="000000"/>
                <w:sz w:val="24"/>
                <w:szCs w:val="24"/>
              </w:rPr>
              <w:t>5 μg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3660"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BsaI限制性内切酶</w:t>
            </w:r>
          </w:p>
        </w:tc>
        <w:tc>
          <w:tcPr>
            <w:tcW w:w="1339"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5 </w:t>
            </w:r>
            <w:r>
              <w:rPr>
                <w:rFonts w:hint="eastAsia" w:ascii="宋体" w:hAnsi="宋体" w:eastAsia="宋体" w:cs="宋体"/>
                <w:color w:val="000000"/>
                <w:sz w:val="24"/>
                <w:szCs w:val="24"/>
              </w:rPr>
              <w:t>μL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3660"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eastAsia="宋体" w:cs="宋体"/>
                <w:color w:val="000000"/>
                <w:sz w:val="24"/>
                <w:szCs w:val="24"/>
              </w:rPr>
              <w:t>×缓冲液</w:t>
            </w:r>
          </w:p>
        </w:tc>
        <w:tc>
          <w:tcPr>
            <w:tcW w:w="1339"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5 </w:t>
            </w:r>
            <w:r>
              <w:rPr>
                <w:rFonts w:hint="eastAsia" w:ascii="宋体" w:hAnsi="宋体" w:eastAsia="宋体" w:cs="宋体"/>
                <w:color w:val="000000"/>
                <w:sz w:val="24"/>
                <w:szCs w:val="24"/>
              </w:rPr>
              <w:t>μL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cantSplit/>
          <w:jc w:val="center"/>
        </w:trPr>
        <w:tc>
          <w:tcPr>
            <w:tcW w:w="3660" w:type="pct"/>
            <w:tcBorders>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水</w:t>
            </w:r>
          </w:p>
        </w:tc>
        <w:tc>
          <w:tcPr>
            <w:tcW w:w="1339" w:type="pct"/>
            <w:tcBorders>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color w:val="000000"/>
                <w:sz w:val="24"/>
                <w:szCs w:val="24"/>
              </w:rPr>
              <w:t>定容至50 μL</w:t>
            </w:r>
          </w:p>
        </w:tc>
      </w:tr>
    </w:tbl>
    <w:p>
      <w:pPr>
        <w:spacing w:line="360" w:lineRule="auto"/>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（6）将步骤5中得到的酶切产物，进行</w:t>
      </w:r>
      <w:r>
        <w:rPr>
          <w:rFonts w:hint="eastAsia" w:ascii="宋体" w:hAnsi="宋体" w:eastAsia="宋体" w:cs="宋体"/>
          <w:sz w:val="24"/>
          <w:szCs w:val="24"/>
          <w:lang w:val="en-US" w:eastAsia="zh-CN"/>
        </w:rPr>
        <w:t>1%</w:t>
      </w:r>
      <w:r>
        <w:rPr>
          <w:rFonts w:hint="eastAsia" w:ascii="宋体" w:hAnsi="宋体" w:eastAsia="宋体" w:cs="宋体"/>
          <w:sz w:val="24"/>
          <w:szCs w:val="24"/>
        </w:rPr>
        <w:t>琼脂糖</w:t>
      </w:r>
      <w:r>
        <w:rPr>
          <w:rFonts w:hint="eastAsia" w:ascii="宋体" w:hAnsi="宋体" w:eastAsia="宋体" w:cs="宋体"/>
          <w:sz w:val="24"/>
          <w:szCs w:val="24"/>
          <w:lang w:val="en-US" w:eastAsia="zh-CN"/>
        </w:rPr>
        <w:t>凝胶</w:t>
      </w:r>
      <w:r>
        <w:rPr>
          <w:rFonts w:hint="eastAsia" w:ascii="宋体" w:hAnsi="宋体" w:eastAsia="宋体" w:cs="宋体"/>
          <w:sz w:val="24"/>
          <w:szCs w:val="24"/>
        </w:rPr>
        <w:t>电泳，</w:t>
      </w:r>
      <w:r>
        <w:rPr>
          <w:rFonts w:hint="eastAsia" w:ascii="宋体" w:hAnsi="宋体" w:eastAsia="宋体" w:cs="宋体"/>
          <w:sz w:val="24"/>
          <w:szCs w:val="24"/>
          <w:lang w:val="en-US" w:eastAsia="zh-CN"/>
        </w:rPr>
        <w:t>然后采</w:t>
      </w:r>
      <w:r>
        <w:rPr>
          <w:rFonts w:hint="eastAsia" w:ascii="宋体" w:hAnsi="宋体" w:eastAsia="宋体" w:cs="宋体"/>
          <w:sz w:val="24"/>
          <w:szCs w:val="24"/>
        </w:rPr>
        <w:t>用琼脂糖凝胶DNA回收试剂盒</w:t>
      </w:r>
      <w:r>
        <w:rPr>
          <w:rFonts w:hint="eastAsia" w:ascii="宋体" w:hAnsi="宋体" w:eastAsia="宋体" w:cs="宋体"/>
          <w:sz w:val="24"/>
          <w:szCs w:val="24"/>
          <w:lang w:val="en-US" w:eastAsia="zh-CN"/>
        </w:rPr>
        <w:t>切胶</w:t>
      </w:r>
      <w:r>
        <w:rPr>
          <w:rFonts w:hint="eastAsia" w:ascii="宋体" w:hAnsi="宋体" w:eastAsia="宋体" w:cs="宋体"/>
          <w:sz w:val="24"/>
          <w:szCs w:val="24"/>
        </w:rPr>
        <w:t>回收长片段DNA。</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（7）连接构建sgRNA表达载体，反应体系按表</w:t>
      </w:r>
      <w:r>
        <w:rPr>
          <w:rFonts w:hint="eastAsia" w:ascii="宋体" w:hAnsi="宋体" w:eastAsia="宋体" w:cs="宋体"/>
          <w:sz w:val="24"/>
          <w:szCs w:val="24"/>
          <w:lang w:val="en-US" w:eastAsia="zh-CN"/>
        </w:rPr>
        <w:t>6</w:t>
      </w:r>
      <w:r>
        <w:rPr>
          <w:rFonts w:hint="eastAsia" w:ascii="宋体" w:hAnsi="宋体" w:eastAsia="宋体" w:cs="宋体"/>
          <w:sz w:val="24"/>
          <w:szCs w:val="24"/>
        </w:rPr>
        <w:t>，反应条件为16℃孵育30-60 min。</w:t>
      </w:r>
    </w:p>
    <w:p>
      <w:pPr>
        <w:adjustRightInd w:val="0"/>
        <w:snapToGrid w:val="0"/>
        <w:spacing w:line="360" w:lineRule="auto"/>
        <w:jc w:val="center"/>
        <w:rPr>
          <w:rFonts w:hint="eastAsia" w:ascii="宋体" w:hAnsi="宋体" w:eastAsia="宋体" w:cs="宋体"/>
          <w:sz w:val="24"/>
          <w:szCs w:val="24"/>
        </w:rPr>
      </w:pPr>
    </w:p>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表</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连接反应体系</w:t>
      </w:r>
    </w:p>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 xml:space="preserve">Table </w:t>
      </w:r>
      <w:r>
        <w:rPr>
          <w:rFonts w:hint="eastAsia" w:ascii="宋体" w:hAnsi="宋体" w:eastAsia="宋体" w:cs="宋体"/>
          <w:sz w:val="24"/>
          <w:szCs w:val="24"/>
          <w:lang w:val="en-US" w:eastAsia="zh-CN"/>
        </w:rPr>
        <w:t>6</w:t>
      </w:r>
      <w:r>
        <w:rPr>
          <w:rFonts w:hint="eastAsia" w:ascii="宋体" w:hAnsi="宋体" w:eastAsia="宋体" w:cs="宋体"/>
          <w:sz w:val="24"/>
          <w:szCs w:val="24"/>
        </w:rPr>
        <w:t xml:space="preserve">  Connection reaction system</w:t>
      </w:r>
    </w:p>
    <w:tbl>
      <w:tblPr>
        <w:tblStyle w:val="9"/>
        <w:tblW w:w="4999"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559"/>
        <w:gridCol w:w="1295"/>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8" w:type="pct"/>
            <w:tcBorders>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组分</w:t>
            </w:r>
          </w:p>
        </w:tc>
        <w:tc>
          <w:tcPr>
            <w:tcW w:w="731" w:type="pct"/>
            <w:tcBorders>
              <w:bottom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体积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8" w:type="pct"/>
            <w:tcBorders>
              <w:top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插入片段（步骤4的退火后oligos）</w:t>
            </w:r>
          </w:p>
        </w:tc>
        <w:tc>
          <w:tcPr>
            <w:tcW w:w="731" w:type="pct"/>
            <w:tcBorders>
              <w:top w:val="single" w:color="auto" w:sz="4" w:space="0"/>
            </w:tcBorders>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2 </w:t>
            </w:r>
            <w:r>
              <w:rPr>
                <w:rFonts w:hint="eastAsia" w:ascii="宋体" w:hAnsi="宋体" w:eastAsia="宋体" w:cs="宋体"/>
                <w:color w:val="000000"/>
                <w:sz w:val="24"/>
                <w:szCs w:val="24"/>
              </w:rPr>
              <w:t>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8"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骨架载体（步骤6的产物，浓度为20 ng/</w:t>
            </w:r>
            <w:r>
              <w:rPr>
                <w:rFonts w:hint="eastAsia" w:ascii="宋体" w:hAnsi="宋体" w:eastAsia="宋体" w:cs="宋体"/>
                <w:color w:val="000000"/>
                <w:sz w:val="24"/>
                <w:szCs w:val="24"/>
              </w:rPr>
              <w:t>μL</w:t>
            </w:r>
            <w:r>
              <w:rPr>
                <w:rFonts w:hint="eastAsia" w:ascii="宋体" w:hAnsi="宋体" w:eastAsia="宋体" w:cs="宋体"/>
                <w:sz w:val="24"/>
                <w:szCs w:val="24"/>
              </w:rPr>
              <w:t>-50 ng/</w:t>
            </w:r>
            <w:r>
              <w:rPr>
                <w:rFonts w:hint="eastAsia" w:ascii="宋体" w:hAnsi="宋体" w:eastAsia="宋体" w:cs="宋体"/>
                <w:color w:val="000000"/>
                <w:sz w:val="24"/>
                <w:szCs w:val="24"/>
              </w:rPr>
              <w:t>μL</w:t>
            </w:r>
            <w:r>
              <w:rPr>
                <w:rFonts w:hint="eastAsia" w:ascii="宋体" w:hAnsi="宋体" w:eastAsia="宋体" w:cs="宋体"/>
                <w:sz w:val="24"/>
                <w:szCs w:val="24"/>
              </w:rPr>
              <w:t>）</w:t>
            </w:r>
          </w:p>
        </w:tc>
        <w:tc>
          <w:tcPr>
            <w:tcW w:w="731"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0.5 </w:t>
            </w:r>
            <w:r>
              <w:rPr>
                <w:rFonts w:hint="eastAsia" w:ascii="宋体" w:hAnsi="宋体" w:eastAsia="宋体" w:cs="宋体"/>
                <w:color w:val="000000"/>
                <w:sz w:val="24"/>
                <w:szCs w:val="24"/>
              </w:rPr>
              <w:t>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8"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10</w:t>
            </w:r>
            <w:r>
              <w:rPr>
                <w:rFonts w:hint="eastAsia" w:ascii="宋体" w:hAnsi="宋体" w:eastAsia="宋体" w:cs="宋体"/>
                <w:color w:val="000000"/>
                <w:sz w:val="24"/>
                <w:szCs w:val="24"/>
              </w:rPr>
              <w:t>×T4连接酶缓冲液</w:t>
            </w:r>
          </w:p>
        </w:tc>
        <w:tc>
          <w:tcPr>
            <w:tcW w:w="731"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color w:val="000000"/>
                <w:sz w:val="24"/>
                <w:szCs w:val="24"/>
              </w:rPr>
              <w:t>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8"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T4连接酶</w:t>
            </w:r>
          </w:p>
        </w:tc>
        <w:tc>
          <w:tcPr>
            <w:tcW w:w="731"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1 </w:t>
            </w:r>
            <w:r>
              <w:rPr>
                <w:rFonts w:hint="eastAsia" w:ascii="宋体" w:hAnsi="宋体" w:eastAsia="宋体" w:cs="宋体"/>
                <w:color w:val="000000"/>
                <w:sz w:val="24"/>
                <w:szCs w:val="24"/>
              </w:rPr>
              <w:t>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8"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水</w:t>
            </w:r>
          </w:p>
        </w:tc>
        <w:tc>
          <w:tcPr>
            <w:tcW w:w="731" w:type="pct"/>
            <w:vAlign w:val="center"/>
          </w:tcPr>
          <w:p>
            <w:pPr>
              <w:jc w:val="center"/>
              <w:rPr>
                <w:rFonts w:hint="eastAsia" w:ascii="宋体" w:hAnsi="宋体" w:eastAsia="宋体" w:cs="宋体"/>
                <w:sz w:val="24"/>
                <w:szCs w:val="24"/>
              </w:rPr>
            </w:pPr>
            <w:r>
              <w:rPr>
                <w:rFonts w:hint="eastAsia" w:ascii="宋体" w:hAnsi="宋体" w:eastAsia="宋体" w:cs="宋体"/>
                <w:sz w:val="24"/>
                <w:szCs w:val="24"/>
              </w:rPr>
              <w:t xml:space="preserve">5.5 </w:t>
            </w:r>
            <w:r>
              <w:rPr>
                <w:rFonts w:hint="eastAsia" w:ascii="宋体" w:hAnsi="宋体" w:eastAsia="宋体" w:cs="宋体"/>
                <w:color w:val="000000"/>
                <w:sz w:val="24"/>
                <w:szCs w:val="24"/>
              </w:rPr>
              <w:t>μL</w:t>
            </w:r>
          </w:p>
        </w:tc>
      </w:tr>
    </w:tbl>
    <w:p>
      <w:pPr>
        <w:spacing w:line="360" w:lineRule="auto"/>
        <w:jc w:val="left"/>
        <w:rPr>
          <w:rFonts w:hint="eastAsia" w:ascii="宋体" w:hAnsi="宋体" w:eastAsia="宋体" w:cs="宋体"/>
          <w:sz w:val="24"/>
          <w:szCs w:val="24"/>
        </w:rPr>
      </w:pP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（8）将步骤7的产物直接用于质粒转化。然后挑取单克隆，送菌液或质粒测序（测序引物为U6通用引物，正向测序），根据测序结果选取构建正确的sgRNA质粒。</w:t>
      </w:r>
    </w:p>
    <w:p>
      <w:pPr>
        <w:spacing w:line="360" w:lineRule="auto"/>
        <w:jc w:val="left"/>
        <w:rPr>
          <w:rFonts w:hint="eastAsia" w:ascii="宋体" w:hAnsi="宋体" w:eastAsia="宋体" w:cs="宋体"/>
          <w:sz w:val="24"/>
          <w:szCs w:val="24"/>
        </w:rPr>
      </w:pPr>
    </w:p>
    <w:p>
      <w:pPr>
        <w:pStyle w:val="4"/>
        <w:bidi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.2.</w:t>
      </w:r>
      <w:r>
        <w:rPr>
          <w:rFonts w:hint="eastAsia" w:ascii="宋体" w:hAnsi="宋体" w:eastAsia="宋体" w:cs="宋体"/>
          <w:sz w:val="24"/>
          <w:szCs w:val="24"/>
          <w:lang w:val="en-US" w:eastAsia="zh-CN"/>
        </w:rPr>
        <w:t>2</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sgRNA的制备</w:t>
      </w:r>
    </w:p>
    <w:p>
      <w:pPr>
        <w:spacing w:line="360" w:lineRule="auto"/>
        <w:rPr>
          <w:rFonts w:hint="eastAsia" w:ascii="宋体" w:hAnsi="宋体" w:eastAsia="宋体" w:cs="宋体"/>
          <w:sz w:val="24"/>
          <w:szCs w:val="24"/>
          <w:lang w:val="en-US" w:eastAsia="zh-CN"/>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sgRNA</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体外</w:t>
      </w:r>
      <w:r>
        <w:rPr>
          <w:rFonts w:hint="eastAsia" w:ascii="宋体" w:hAnsi="宋体" w:eastAsia="宋体" w:cs="宋体"/>
          <w:color w:val="000000"/>
          <w:sz w:val="24"/>
          <w:szCs w:val="24"/>
          <w:lang w:val="en-US" w:eastAsia="zh-CN"/>
        </w:rPr>
        <w:t>转录模板制备</w:t>
      </w:r>
    </w:p>
    <w:p>
      <w:pPr>
        <w:tabs>
          <w:tab w:val="left" w:pos="420"/>
        </w:tabs>
        <w:spacing w:line="360" w:lineRule="auto"/>
        <w:ind w:firstLine="480" w:firstLineChars="200"/>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用高保真DNA聚合酶对sgRNA</w:t>
      </w:r>
      <w:r>
        <w:rPr>
          <w:rFonts w:hint="eastAsia" w:ascii="宋体" w:hAnsi="宋体" w:eastAsia="宋体" w:cs="宋体"/>
          <w:color w:val="000000"/>
          <w:sz w:val="24"/>
          <w:szCs w:val="24"/>
          <w:lang w:val="en-US" w:eastAsia="zh-CN"/>
        </w:rPr>
        <w:t>质粒</w:t>
      </w:r>
      <w:r>
        <w:rPr>
          <w:rFonts w:hint="eastAsia" w:ascii="宋体" w:hAnsi="宋体" w:eastAsia="宋体" w:cs="宋体"/>
          <w:color w:val="000000"/>
          <w:sz w:val="24"/>
          <w:szCs w:val="24"/>
        </w:rPr>
        <w:t>进行PCR扩增。PCR</w:t>
      </w:r>
      <w:r>
        <w:rPr>
          <w:rFonts w:hint="eastAsia" w:ascii="宋体" w:hAnsi="宋体" w:eastAsia="宋体" w:cs="宋体"/>
          <w:color w:val="000000"/>
          <w:sz w:val="24"/>
          <w:szCs w:val="24"/>
          <w:lang w:val="en-US" w:eastAsia="zh-CN"/>
        </w:rPr>
        <w:t>引物按表8，</w:t>
      </w:r>
      <w:r>
        <w:rPr>
          <w:rFonts w:hint="eastAsia" w:ascii="宋体" w:hAnsi="宋体" w:eastAsia="宋体" w:cs="宋体"/>
          <w:color w:val="000000"/>
          <w:sz w:val="24"/>
          <w:szCs w:val="24"/>
        </w:rPr>
        <w:t>反应体系按照表</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，反应条件如表</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。得到带T7启动子的sgRNA体外转录模板后，进行2%琼脂糖胶TBE电泳，判断条带大小是否符合预期：sgRNA体外转录模板大小为约120 bp。</w:t>
      </w:r>
      <w:r>
        <w:rPr>
          <w:rFonts w:hint="eastAsia" w:ascii="宋体" w:hAnsi="宋体" w:eastAsia="宋体" w:cs="宋体"/>
          <w:color w:val="000000"/>
          <w:sz w:val="24"/>
          <w:szCs w:val="24"/>
          <w:lang w:val="en-US" w:eastAsia="zh-CN"/>
        </w:rPr>
        <w:t>获得后的体外转录模板</w:t>
      </w:r>
      <w:r>
        <w:rPr>
          <w:rFonts w:hint="eastAsia" w:ascii="宋体" w:hAnsi="宋体" w:eastAsia="宋体" w:cs="宋体"/>
          <w:color w:val="000000"/>
          <w:sz w:val="24"/>
          <w:szCs w:val="24"/>
        </w:rPr>
        <w:t>采用苯酚/氯仿/异戊醇进行抽提，乙醇和乙酸钠沉淀纯化。</w:t>
      </w:r>
    </w:p>
    <w:p>
      <w:pPr>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 xml:space="preserve">  引物序列</w:t>
      </w:r>
    </w:p>
    <w:p>
      <w:pPr>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Table </w:t>
      </w:r>
      <w:r>
        <w:rPr>
          <w:rFonts w:hint="eastAsia" w:ascii="宋体" w:hAnsi="宋体" w:eastAsia="宋体" w:cs="宋体"/>
          <w:color w:val="000000"/>
          <w:sz w:val="24"/>
          <w:szCs w:val="24"/>
          <w:lang w:val="en-US" w:eastAsia="zh-CN"/>
        </w:rPr>
        <w:t>8</w:t>
      </w:r>
      <w:r>
        <w:rPr>
          <w:rFonts w:hint="eastAsia" w:ascii="宋体" w:hAnsi="宋体" w:eastAsia="宋体" w:cs="宋体"/>
          <w:color w:val="000000"/>
          <w:sz w:val="24"/>
          <w:szCs w:val="24"/>
        </w:rPr>
        <w:t xml:space="preserve">  Primer sequence</w:t>
      </w:r>
    </w:p>
    <w:tbl>
      <w:tblPr>
        <w:tblStyle w:val="9"/>
        <w:tblW w:w="4997"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008"/>
        <w:gridCol w:w="1204"/>
        <w:gridCol w:w="563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引物名称</w:t>
            </w:r>
          </w:p>
        </w:tc>
        <w:tc>
          <w:tcPr>
            <w:tcW w:w="68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引物方向</w:t>
            </w:r>
          </w:p>
        </w:tc>
        <w:tc>
          <w:tcPr>
            <w:tcW w:w="3185"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序列（ 5’→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GB"/>
              </w:rPr>
              <w:t>T7-tyr-sg1-F</w:t>
            </w:r>
          </w:p>
        </w:tc>
        <w:tc>
          <w:tcPr>
            <w:tcW w:w="680"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正向引物</w:t>
            </w:r>
          </w:p>
        </w:tc>
        <w:tc>
          <w:tcPr>
            <w:tcW w:w="3185"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GB"/>
              </w:rPr>
              <w:t>TTAATACGACTCACTATAGCAGTGCTTTGGCAACTTCAT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GB"/>
              </w:rPr>
              <w:t>T7-tyr-sg2-F</w:t>
            </w:r>
          </w:p>
        </w:tc>
        <w:tc>
          <w:tcPr>
            <w:tcW w:w="68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正向引物</w:t>
            </w:r>
          </w:p>
        </w:tc>
        <w:tc>
          <w:tcPr>
            <w:tcW w:w="3185"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GB"/>
              </w:rPr>
              <w:t>TTAATACGACTCACTATAGCCGTTCATCCACCCCGGTGA</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134"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GB"/>
              </w:rPr>
              <w:t>sgRNA-R</w:t>
            </w:r>
          </w:p>
        </w:tc>
        <w:tc>
          <w:tcPr>
            <w:tcW w:w="68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反向引物</w:t>
            </w:r>
          </w:p>
        </w:tc>
        <w:tc>
          <w:tcPr>
            <w:tcW w:w="3185"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lang w:val="en-GB"/>
              </w:rPr>
              <w:t>AAAAGCACCGACTCGGTGCC</w:t>
            </w:r>
          </w:p>
        </w:tc>
      </w:tr>
    </w:tbl>
    <w:p>
      <w:pPr>
        <w:tabs>
          <w:tab w:val="left" w:pos="210"/>
          <w:tab w:val="left" w:pos="420"/>
        </w:tabs>
        <w:adjustRightInd w:val="0"/>
        <w:snapToGrid w:val="0"/>
        <w:spacing w:line="360" w:lineRule="auto"/>
        <w:jc w:val="center"/>
        <w:rPr>
          <w:rFonts w:hint="eastAsia" w:ascii="宋体" w:hAnsi="宋体" w:eastAsia="宋体" w:cs="宋体"/>
          <w:color w:val="000000"/>
          <w:sz w:val="24"/>
          <w:szCs w:val="24"/>
        </w:rPr>
      </w:pPr>
      <w:bookmarkStart w:id="141" w:name="_Toc17004"/>
      <w:bookmarkStart w:id="142" w:name="_Toc12332"/>
      <w:bookmarkStart w:id="143" w:name="_Toc27801"/>
      <w:bookmarkStart w:id="144" w:name="_Toc30564"/>
      <w:bookmarkStart w:id="145" w:name="_Toc6535"/>
      <w:bookmarkStart w:id="146" w:name="_Toc2670"/>
      <w:bookmarkStart w:id="147" w:name="_Toc20553"/>
      <w:bookmarkStart w:id="148" w:name="_Toc14972"/>
      <w:bookmarkStart w:id="149" w:name="_Toc7478"/>
      <w:bookmarkStart w:id="150" w:name="_Toc19272"/>
      <w:bookmarkStart w:id="151" w:name="_Toc28396"/>
      <w:bookmarkStart w:id="152" w:name="_Toc12030"/>
      <w:bookmarkStart w:id="153" w:name="_Toc6968"/>
      <w:bookmarkStart w:id="154" w:name="_Toc14519"/>
      <w:bookmarkStart w:id="155" w:name="_Toc7325"/>
      <w:bookmarkStart w:id="156" w:name="_Toc24795"/>
      <w:bookmarkStart w:id="157" w:name="_Toc11478"/>
      <w:bookmarkStart w:id="158" w:name="_Toc24244"/>
      <w:bookmarkStart w:id="159" w:name="_Toc5268"/>
      <w:bookmarkStart w:id="160" w:name="_Toc2315"/>
    </w:p>
    <w:p>
      <w:pPr>
        <w:tabs>
          <w:tab w:val="left" w:pos="210"/>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 xml:space="preserve">  PCR反应体系</w:t>
      </w:r>
    </w:p>
    <w:p>
      <w:pPr>
        <w:tabs>
          <w:tab w:val="left" w:pos="210"/>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Table </w:t>
      </w:r>
      <w:r>
        <w:rPr>
          <w:rFonts w:hint="eastAsia" w:ascii="宋体" w:hAnsi="宋体" w:eastAsia="宋体" w:cs="宋体"/>
          <w:color w:val="000000"/>
          <w:sz w:val="24"/>
          <w:szCs w:val="24"/>
          <w:lang w:val="en-US" w:eastAsia="zh-CN"/>
        </w:rPr>
        <w:t>9</w:t>
      </w:r>
      <w:r>
        <w:rPr>
          <w:rFonts w:hint="eastAsia" w:ascii="宋体" w:hAnsi="宋体" w:eastAsia="宋体" w:cs="宋体"/>
          <w:color w:val="000000"/>
          <w:sz w:val="24"/>
          <w:szCs w:val="24"/>
        </w:rPr>
        <w:t xml:space="preserve">  PCR reaction system</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8"/>
        <w:gridCol w:w="442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bottom w:val="single" w:color="auto" w:sz="4" w:space="0"/>
            </w:tcBorders>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组分</w:t>
            </w:r>
          </w:p>
        </w:tc>
        <w:tc>
          <w:tcPr>
            <w:tcW w:w="2500" w:type="pct"/>
            <w:tcBorders>
              <w:bottom w:val="single" w:color="auto" w:sz="4" w:space="0"/>
            </w:tcBorders>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加样量（μL）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 PCR 缓冲液</w:t>
            </w:r>
          </w:p>
        </w:tc>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 mM MgSO</w:t>
            </w:r>
            <w:r>
              <w:rPr>
                <w:rFonts w:hint="eastAsia" w:ascii="宋体" w:hAnsi="宋体" w:eastAsia="宋体" w:cs="宋体"/>
                <w:color w:val="000000"/>
                <w:sz w:val="24"/>
                <w:szCs w:val="24"/>
                <w:vertAlign w:val="subscript"/>
              </w:rPr>
              <w:t>4</w:t>
            </w:r>
          </w:p>
        </w:tc>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2 mM dNTPs</w:t>
            </w:r>
          </w:p>
        </w:tc>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正向引物（10 μM）</w:t>
            </w:r>
          </w:p>
        </w:tc>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反向引物（10 μM）</w:t>
            </w:r>
          </w:p>
        </w:tc>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sgRNA 质粒（30 ng/μL）</w:t>
            </w:r>
          </w:p>
        </w:tc>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高保真DNA聚合酶（聚合美，MF003）</w:t>
            </w:r>
          </w:p>
        </w:tc>
        <w:tc>
          <w:tcPr>
            <w:tcW w:w="2500" w:type="pct"/>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bottom w:val="single" w:color="auto" w:sz="4" w:space="0"/>
            </w:tcBorders>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水</w:t>
            </w:r>
          </w:p>
        </w:tc>
        <w:tc>
          <w:tcPr>
            <w:tcW w:w="2500" w:type="pct"/>
            <w:tcBorders>
              <w:bottom w:val="single" w:color="auto" w:sz="4" w:space="0"/>
            </w:tcBorders>
            <w:vAlign w:val="center"/>
          </w:tcPr>
          <w:p>
            <w:pPr>
              <w:tabs>
                <w:tab w:val="left" w:pos="210"/>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31</w:t>
            </w:r>
          </w:p>
        </w:tc>
      </w:tr>
    </w:tbl>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注：需要制备6管PCR产物，因为PCR产物达300 μL以上便于进行DNA纯化。</w:t>
      </w:r>
    </w:p>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Note: Six tubes of PCR products need to be prepared, because the PCR products are more than 300 μL, which is convenient for DNA purification.</w:t>
      </w:r>
    </w:p>
    <w:p>
      <w:pPr>
        <w:adjustRightInd w:val="0"/>
        <w:snapToGrid w:val="0"/>
        <w:spacing w:line="360" w:lineRule="auto"/>
        <w:jc w:val="left"/>
        <w:rPr>
          <w:rFonts w:hint="eastAsia" w:ascii="宋体" w:hAnsi="宋体" w:eastAsia="宋体" w:cs="宋体"/>
          <w:color w:val="000000"/>
          <w:sz w:val="24"/>
          <w:szCs w:val="24"/>
        </w:rPr>
      </w:pPr>
    </w:p>
    <w:p>
      <w:pPr>
        <w:tabs>
          <w:tab w:val="left" w:pos="210"/>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 xml:space="preserve">  PCR反应条件</w:t>
      </w:r>
    </w:p>
    <w:p>
      <w:pPr>
        <w:tabs>
          <w:tab w:val="left" w:pos="210"/>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Table </w:t>
      </w:r>
      <w:r>
        <w:rPr>
          <w:rFonts w:hint="eastAsia" w:ascii="宋体" w:hAnsi="宋体" w:eastAsia="宋体" w:cs="宋体"/>
          <w:color w:val="000000"/>
          <w:sz w:val="24"/>
          <w:szCs w:val="24"/>
          <w:lang w:val="en-US" w:eastAsia="zh-CN"/>
        </w:rPr>
        <w:t>10</w:t>
      </w:r>
      <w:r>
        <w:rPr>
          <w:rFonts w:hint="eastAsia" w:ascii="宋体" w:hAnsi="宋体" w:eastAsia="宋体" w:cs="宋体"/>
          <w:color w:val="000000"/>
          <w:sz w:val="24"/>
          <w:szCs w:val="24"/>
        </w:rPr>
        <w:t xml:space="preserve">  PCR reaction conditions</w:t>
      </w:r>
    </w:p>
    <w:tbl>
      <w:tblPr>
        <w:tblStyle w:val="9"/>
        <w:tblpPr w:leftFromText="180" w:rightFromText="180" w:vertAnchor="text" w:tblpY="1"/>
        <w:tblOverlap w:val="never"/>
        <w:tblW w:w="4998"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13"/>
        <w:gridCol w:w="2213"/>
        <w:gridCol w:w="2213"/>
        <w:gridCol w:w="221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循环数</w:t>
            </w:r>
          </w:p>
        </w:tc>
        <w:tc>
          <w:tcPr>
            <w:tcW w:w="125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变性</w:t>
            </w:r>
          </w:p>
        </w:tc>
        <w:tc>
          <w:tcPr>
            <w:tcW w:w="125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退火</w:t>
            </w:r>
          </w:p>
        </w:tc>
        <w:tc>
          <w:tcPr>
            <w:tcW w:w="125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延伸</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250"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95℃，5 min</w:t>
            </w:r>
          </w:p>
        </w:tc>
        <w:tc>
          <w:tcPr>
            <w:tcW w:w="1250" w:type="pct"/>
            <w:tcBorders>
              <w:top w:val="single" w:color="auto" w:sz="4" w:space="0"/>
            </w:tcBorders>
            <w:vAlign w:val="center"/>
          </w:tcPr>
          <w:p>
            <w:pPr>
              <w:jc w:val="center"/>
              <w:rPr>
                <w:rFonts w:hint="eastAsia" w:ascii="宋体" w:hAnsi="宋体" w:eastAsia="宋体" w:cs="宋体"/>
                <w:color w:val="000000"/>
                <w:sz w:val="24"/>
                <w:szCs w:val="24"/>
              </w:rPr>
            </w:pPr>
          </w:p>
        </w:tc>
        <w:tc>
          <w:tcPr>
            <w:tcW w:w="1250" w:type="pct"/>
            <w:tcBorders>
              <w:top w:val="single" w:color="auto" w:sz="4" w:space="0"/>
            </w:tcBorders>
            <w:vAlign w:val="center"/>
          </w:tcPr>
          <w:p>
            <w:pPr>
              <w:jc w:val="center"/>
              <w:rPr>
                <w:rFonts w:hint="eastAsia" w:ascii="宋体" w:hAnsi="宋体" w:eastAsia="宋体" w:cs="宋体"/>
                <w:color w:val="000000"/>
                <w:sz w:val="24"/>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2-36</w:t>
            </w:r>
          </w:p>
        </w:tc>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94℃，25 s</w:t>
            </w:r>
          </w:p>
        </w:tc>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60℃，30 s</w:t>
            </w:r>
          </w:p>
        </w:tc>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68℃，30 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37</w:t>
            </w:r>
          </w:p>
        </w:tc>
        <w:tc>
          <w:tcPr>
            <w:tcW w:w="1250" w:type="pct"/>
            <w:vAlign w:val="center"/>
          </w:tcPr>
          <w:p>
            <w:pPr>
              <w:jc w:val="center"/>
              <w:rPr>
                <w:rFonts w:hint="eastAsia" w:ascii="宋体" w:hAnsi="宋体" w:eastAsia="宋体" w:cs="宋体"/>
                <w:color w:val="000000"/>
                <w:sz w:val="24"/>
                <w:szCs w:val="24"/>
              </w:rPr>
            </w:pPr>
          </w:p>
        </w:tc>
        <w:tc>
          <w:tcPr>
            <w:tcW w:w="1250" w:type="pct"/>
            <w:vAlign w:val="center"/>
          </w:tcPr>
          <w:p>
            <w:pPr>
              <w:jc w:val="center"/>
              <w:rPr>
                <w:rFonts w:hint="eastAsia" w:ascii="宋体" w:hAnsi="宋体" w:eastAsia="宋体" w:cs="宋体"/>
                <w:color w:val="000000"/>
                <w:sz w:val="24"/>
                <w:szCs w:val="24"/>
              </w:rPr>
            </w:pPr>
          </w:p>
        </w:tc>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68℃，5 min</w:t>
            </w:r>
          </w:p>
        </w:tc>
      </w:tr>
    </w:tbl>
    <w:p>
      <w:pPr>
        <w:spacing w:line="360" w:lineRule="auto"/>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 xml:space="preserve">  sgRNA</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体外转录和纯化</w:t>
      </w:r>
    </w:p>
    <w:p>
      <w:pPr>
        <w:tabs>
          <w:tab w:val="left" w:pos="42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将已纯化的sgRNA体外转录模板用T7体外转录试剂盒（MEGAshortscript T7 kit）进行体外转录。合成的sgRNA经核酸纯化后才能用于显微注射。</w:t>
      </w:r>
    </w:p>
    <w:p>
      <w:pPr>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首先进行体外转录反应合成sgRNA，反应体系按表</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，反应条件为37℃，4 h。</w:t>
      </w:r>
    </w:p>
    <w:p>
      <w:pPr>
        <w:adjustRightInd w:val="0"/>
        <w:snapToGrid w:val="0"/>
        <w:spacing w:line="360" w:lineRule="auto"/>
        <w:rPr>
          <w:rFonts w:hint="eastAsia" w:ascii="宋体" w:hAnsi="宋体" w:eastAsia="宋体" w:cs="宋体"/>
          <w:color w:val="000000"/>
          <w:sz w:val="24"/>
          <w:szCs w:val="24"/>
        </w:rPr>
      </w:pPr>
    </w:p>
    <w:p>
      <w:pPr>
        <w:numPr>
          <w:ilvl w:val="255"/>
          <w:numId w:val="0"/>
        </w:numPr>
        <w:tabs>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 xml:space="preserve">  体外转录反应</w:t>
      </w:r>
    </w:p>
    <w:p>
      <w:pPr>
        <w:numPr>
          <w:ilvl w:val="255"/>
          <w:numId w:val="0"/>
        </w:numPr>
        <w:tabs>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Table </w:t>
      </w:r>
      <w:r>
        <w:rPr>
          <w:rFonts w:hint="eastAsia" w:ascii="宋体" w:hAnsi="宋体" w:eastAsia="宋体" w:cs="宋体"/>
          <w:color w:val="000000"/>
          <w:sz w:val="24"/>
          <w:szCs w:val="24"/>
          <w:lang w:val="en-US" w:eastAsia="zh-CN"/>
        </w:rPr>
        <w:t>11</w:t>
      </w:r>
      <w:r>
        <w:rPr>
          <w:rFonts w:hint="eastAsia" w:ascii="宋体" w:hAnsi="宋体" w:eastAsia="宋体" w:cs="宋体"/>
          <w:color w:val="000000"/>
          <w:sz w:val="24"/>
          <w:szCs w:val="24"/>
        </w:rPr>
        <w:t xml:space="preserve">  In vitro transcription response system</w:t>
      </w:r>
    </w:p>
    <w:tbl>
      <w:tblPr>
        <w:tblStyle w:val="9"/>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8"/>
        <w:gridCol w:w="442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bottom w:val="single" w:color="auto" w:sz="4" w:space="0"/>
            </w:tcBorders>
            <w:vAlign w:val="center"/>
          </w:tcPr>
          <w:p>
            <w:pPr>
              <w:tabs>
                <w:tab w:val="left" w:pos="871"/>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组分</w:t>
            </w:r>
          </w:p>
        </w:tc>
        <w:tc>
          <w:tcPr>
            <w:tcW w:w="250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体积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op w:val="single" w:color="auto" w:sz="4" w:space="0"/>
              <w:bottom w:val="nil"/>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ATP（75 μM）</w:t>
            </w:r>
          </w:p>
        </w:tc>
        <w:tc>
          <w:tcPr>
            <w:tcW w:w="2500" w:type="pct"/>
            <w:tcBorders>
              <w:top w:val="single" w:color="auto" w:sz="4" w:space="0"/>
              <w:bottom w:val="nil"/>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op w:val="nil"/>
              <w:bottom w:val="nil"/>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GTP（75 μM）</w:t>
            </w:r>
          </w:p>
        </w:tc>
        <w:tc>
          <w:tcPr>
            <w:tcW w:w="2500" w:type="pct"/>
            <w:tcBorders>
              <w:top w:val="nil"/>
              <w:bottom w:val="nil"/>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op w:val="nil"/>
              <w:bottom w:val="nil"/>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CTP（75 μM）</w:t>
            </w:r>
          </w:p>
        </w:tc>
        <w:tc>
          <w:tcPr>
            <w:tcW w:w="2500" w:type="pct"/>
            <w:tcBorders>
              <w:top w:val="nil"/>
              <w:bottom w:val="nil"/>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tcBorders>
              <w:top w:val="nil"/>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UTP（75 μM）</w:t>
            </w:r>
          </w:p>
        </w:tc>
        <w:tc>
          <w:tcPr>
            <w:tcW w:w="2500" w:type="pct"/>
            <w:tcBorders>
              <w:top w:val="nil"/>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10×T7 Reaction Buffer</w:t>
            </w:r>
          </w:p>
        </w:tc>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sgRNA体外转录DNA模板</w:t>
            </w:r>
          </w:p>
        </w:tc>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2-4 μg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T7 Enzyme Mix</w:t>
            </w:r>
          </w:p>
        </w:tc>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无酶水</w:t>
            </w:r>
          </w:p>
        </w:tc>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加水将总体积定容至20 μL</w:t>
            </w:r>
          </w:p>
        </w:tc>
      </w:tr>
    </w:tbl>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注：T7 Reaction Buffer需恢复至常温才可加入到体系中，否则低温条件下其成分可引起DNA模板产生沉淀。</w:t>
      </w:r>
    </w:p>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Note: T7 reaction buffer can be added to the system only after it is restored to normal temperature, otherwise, its components can cause DNA template to precipitate under low temperature.</w:t>
      </w:r>
    </w:p>
    <w:p>
      <w:pPr>
        <w:adjustRightInd w:val="0"/>
        <w:snapToGrid w:val="0"/>
        <w:spacing w:line="360" w:lineRule="auto"/>
        <w:rPr>
          <w:rFonts w:hint="eastAsia" w:ascii="宋体" w:hAnsi="宋体" w:eastAsia="宋体" w:cs="宋体"/>
          <w:color w:val="000000"/>
          <w:sz w:val="24"/>
          <w:szCs w:val="24"/>
        </w:rPr>
      </w:pPr>
    </w:p>
    <w:p>
      <w:pPr>
        <w:numPr>
          <w:ilvl w:val="0"/>
          <w:numId w:val="1"/>
        </w:numPr>
        <w:tabs>
          <w:tab w:val="left" w:pos="420"/>
        </w:tabs>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然后去除DNA模板：加入1 μL TURBO DNase，反应条件为37℃，15 min。</w:t>
      </w:r>
    </w:p>
    <w:p>
      <w:pPr>
        <w:numPr>
          <w:ilvl w:val="0"/>
          <w:numId w:val="1"/>
        </w:numPr>
        <w:tabs>
          <w:tab w:val="left" w:pos="420"/>
        </w:tabs>
        <w:spacing w:line="360" w:lineRule="auto"/>
        <w:ind w:left="0" w:leftChars="0" w:firstLine="0" w:firstLineChars="0"/>
        <w:rPr>
          <w:rFonts w:hint="eastAsia" w:ascii="宋体" w:hAnsi="宋体" w:eastAsia="宋体" w:cs="宋体"/>
          <w:color w:val="000000"/>
          <w:sz w:val="24"/>
          <w:szCs w:val="24"/>
        </w:rPr>
      </w:pPr>
      <w:r>
        <w:rPr>
          <w:rFonts w:hint="eastAsia" w:ascii="宋体" w:hAnsi="宋体" w:eastAsia="宋体" w:cs="宋体"/>
          <w:bCs/>
          <w:color w:val="000000"/>
          <w:sz w:val="24"/>
          <w:szCs w:val="24"/>
        </w:rPr>
        <w:t>最终获得的</w:t>
      </w:r>
      <w:r>
        <w:rPr>
          <w:rFonts w:hint="eastAsia" w:ascii="宋体" w:hAnsi="宋体" w:eastAsia="宋体" w:cs="宋体"/>
          <w:color w:val="000000"/>
          <w:sz w:val="24"/>
          <w:szCs w:val="24"/>
        </w:rPr>
        <w:t>sgRNA</w:t>
      </w:r>
      <w:r>
        <w:rPr>
          <w:rFonts w:hint="eastAsia" w:ascii="宋体" w:hAnsi="宋体" w:eastAsia="宋体" w:cs="宋体"/>
          <w:color w:val="000000"/>
          <w:sz w:val="24"/>
          <w:szCs w:val="24"/>
          <w:lang w:val="en-US" w:eastAsia="zh-CN"/>
        </w:rPr>
        <w:t>用</w:t>
      </w:r>
      <w:r>
        <w:rPr>
          <w:rFonts w:hint="eastAsia" w:ascii="宋体" w:hAnsi="宋体" w:eastAsia="宋体" w:cs="宋体"/>
          <w:color w:val="000000"/>
          <w:sz w:val="24"/>
          <w:szCs w:val="24"/>
        </w:rPr>
        <w:t>苯酚/氯仿/异戊醇进行抽提，乙醇和乙酸钠沉淀纯化。</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3.2.3  Cas9 mRNA的制备</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p>
    <w:p>
      <w:pPr>
        <w:tabs>
          <w:tab w:val="left" w:pos="420"/>
        </w:tabs>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 xml:space="preserve">  线性化质粒pST1374-NLS-flag-linker-Cas9</w:t>
      </w:r>
    </w:p>
    <w:p>
      <w:pPr>
        <w:tabs>
          <w:tab w:val="left" w:pos="42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酶切酶切反应体系见表</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rPr>
        <w:t>，反应条件：37℃温浴，酶切消化过夜。</w:t>
      </w:r>
    </w:p>
    <w:p>
      <w:pPr>
        <w:tabs>
          <w:tab w:val="left" w:pos="420"/>
        </w:tabs>
        <w:spacing w:line="360" w:lineRule="auto"/>
        <w:rPr>
          <w:rFonts w:hint="eastAsia" w:ascii="宋体" w:hAnsi="宋体" w:eastAsia="宋体" w:cs="宋体"/>
          <w:color w:val="000000"/>
          <w:sz w:val="24"/>
          <w:szCs w:val="24"/>
        </w:rPr>
      </w:pPr>
    </w:p>
    <w:p>
      <w:pPr>
        <w:tabs>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rPr>
        <w:t xml:space="preserve">  酶切反应体系</w:t>
      </w:r>
    </w:p>
    <w:p>
      <w:pPr>
        <w:tabs>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Table </w:t>
      </w:r>
      <w:r>
        <w:rPr>
          <w:rFonts w:hint="eastAsia" w:ascii="宋体" w:hAnsi="宋体" w:eastAsia="宋体" w:cs="宋体"/>
          <w:color w:val="000000"/>
          <w:sz w:val="24"/>
          <w:szCs w:val="24"/>
          <w:lang w:val="en-US" w:eastAsia="zh-CN"/>
        </w:rPr>
        <w:t>12</w:t>
      </w:r>
      <w:r>
        <w:rPr>
          <w:rFonts w:hint="eastAsia" w:ascii="宋体" w:hAnsi="宋体" w:eastAsia="宋体" w:cs="宋体"/>
          <w:color w:val="000000"/>
          <w:sz w:val="24"/>
          <w:szCs w:val="24"/>
        </w:rPr>
        <w:t xml:space="preserve">  Enzymatic reaction system</w:t>
      </w:r>
    </w:p>
    <w:tbl>
      <w:tblPr>
        <w:tblStyle w:val="9"/>
        <w:tblW w:w="5000"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017"/>
        <w:gridCol w:w="3839"/>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2" w:type="pct"/>
            <w:tcBorders>
              <w:bottom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组分</w:t>
            </w:r>
          </w:p>
        </w:tc>
        <w:tc>
          <w:tcPr>
            <w:tcW w:w="2167" w:type="pct"/>
            <w:tcBorders>
              <w:bottom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体积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2" w:type="pct"/>
            <w:tcBorders>
              <w:top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pST1374-NLS-flag-linker-Cas9</w:t>
            </w:r>
          </w:p>
        </w:tc>
        <w:tc>
          <w:tcPr>
            <w:tcW w:w="2167" w:type="pct"/>
            <w:tcBorders>
              <w:top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4 μL（1000 ng/μL）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2"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10×NEB buffer</w:t>
            </w:r>
          </w:p>
        </w:tc>
        <w:tc>
          <w:tcPr>
            <w:tcW w:w="2167"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5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2"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i/>
                <w:iCs/>
                <w:color w:val="000000"/>
                <w:sz w:val="24"/>
                <w:szCs w:val="24"/>
              </w:rPr>
              <w:t xml:space="preserve">Age </w:t>
            </w:r>
            <w:r>
              <w:rPr>
                <w:rFonts w:hint="eastAsia" w:ascii="宋体" w:hAnsi="宋体" w:eastAsia="宋体" w:cs="宋体"/>
                <w:color w:val="000000"/>
                <w:sz w:val="24"/>
                <w:szCs w:val="24"/>
              </w:rPr>
              <w:t>I限制性内切酶</w:t>
            </w:r>
          </w:p>
        </w:tc>
        <w:tc>
          <w:tcPr>
            <w:tcW w:w="2167"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1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2832"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dd H</w:t>
            </w:r>
            <w:r>
              <w:rPr>
                <w:rFonts w:hint="eastAsia" w:ascii="宋体" w:hAnsi="宋体" w:eastAsia="宋体" w:cs="宋体"/>
                <w:color w:val="000000"/>
                <w:sz w:val="24"/>
                <w:szCs w:val="24"/>
                <w:vertAlign w:val="subscript"/>
              </w:rPr>
              <w:t>2</w:t>
            </w:r>
            <w:r>
              <w:rPr>
                <w:rFonts w:hint="eastAsia" w:ascii="宋体" w:hAnsi="宋体" w:eastAsia="宋体" w:cs="宋体"/>
                <w:color w:val="000000"/>
                <w:sz w:val="24"/>
                <w:szCs w:val="24"/>
              </w:rPr>
              <w:t>O</w:t>
            </w:r>
          </w:p>
        </w:tc>
        <w:tc>
          <w:tcPr>
            <w:tcW w:w="2167"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40 μL</w:t>
            </w:r>
          </w:p>
        </w:tc>
      </w:tr>
    </w:tbl>
    <w:p>
      <w:pPr>
        <w:tabs>
          <w:tab w:val="left" w:pos="420"/>
        </w:tabs>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注：要消化至少30 μg的质粒才利于下一步做体外转录模板的纯化。酶切产物需取少量进行琼脂糖电泳鉴定，确保酶切完全，所有质粒被线性化。</w:t>
      </w:r>
    </w:p>
    <w:p>
      <w:pPr>
        <w:tabs>
          <w:tab w:val="left" w:pos="420"/>
        </w:tabs>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Note: It is necessary to digest at least 30 μg of plasmids for further purification of in vitro transcription template. A small amount of enzyme products need to be identified by agarose electrophoresis to ensure complete enzyme digestion and all plasmids are linearized.</w:t>
      </w:r>
    </w:p>
    <w:p>
      <w:pPr>
        <w:tabs>
          <w:tab w:val="left" w:pos="420"/>
        </w:tabs>
        <w:adjustRightInd w:val="0"/>
        <w:snapToGrid w:val="0"/>
        <w:spacing w:line="360" w:lineRule="auto"/>
        <w:jc w:val="left"/>
        <w:rPr>
          <w:rFonts w:hint="eastAsia" w:ascii="宋体" w:hAnsi="宋体" w:eastAsia="宋体" w:cs="宋体"/>
          <w:color w:val="000000"/>
          <w:sz w:val="24"/>
          <w:szCs w:val="24"/>
        </w:rPr>
      </w:pPr>
    </w:p>
    <w:p>
      <w:pPr>
        <w:tabs>
          <w:tab w:val="left" w:pos="420"/>
        </w:tabs>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 xml:space="preserve">  Cas9体外转录模板的纯化</w:t>
      </w:r>
    </w:p>
    <w:p>
      <w:pPr>
        <w:tabs>
          <w:tab w:val="left" w:pos="42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质粒pST1374-NLS-flag-linker-Cas9被完全线性化后，为了去除RNA酶和其他杂质，采用苯酚/氯仿/异戊醇进行抽提，乙醇和乙酸钠沉淀，纯化后作为体外转录模板。</w:t>
      </w:r>
    </w:p>
    <w:p>
      <w:pPr>
        <w:tabs>
          <w:tab w:val="left" w:pos="420"/>
        </w:tabs>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 xml:space="preserve">  体外转录Cas9 mRNA</w:t>
      </w:r>
    </w:p>
    <w:p>
      <w:pPr>
        <w:tabs>
          <w:tab w:val="left" w:pos="420"/>
        </w:tabs>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将纯化后的Cas9体外转录模板用T7启动子体外转录试剂盒（mMESSAGE mMACHINE T7 ultra kit）进行体外转录。合成显微注射用的Cas9 mRNA需要分3步：</w:t>
      </w:r>
    </w:p>
    <w:p>
      <w:pPr>
        <w:numPr>
          <w:ilvl w:val="0"/>
          <w:numId w:val="2"/>
        </w:numPr>
        <w:tabs>
          <w:tab w:val="left" w:pos="420"/>
        </w:tabs>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首先进行体外转录反应，形成初步的mRNA，反应体系参照表</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，反应条件为37℃，2 h。</w:t>
      </w:r>
    </w:p>
    <w:p>
      <w:pPr>
        <w:numPr>
          <w:ilvl w:val="255"/>
          <w:numId w:val="0"/>
        </w:numPr>
        <w:tabs>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 xml:space="preserve">  体外转录反应</w:t>
      </w:r>
    </w:p>
    <w:p>
      <w:pPr>
        <w:numPr>
          <w:ilvl w:val="255"/>
          <w:numId w:val="0"/>
        </w:numPr>
        <w:tabs>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Table </w:t>
      </w:r>
      <w:r>
        <w:rPr>
          <w:rFonts w:hint="eastAsia" w:ascii="宋体" w:hAnsi="宋体" w:eastAsia="宋体" w:cs="宋体"/>
          <w:color w:val="000000"/>
          <w:sz w:val="24"/>
          <w:szCs w:val="24"/>
          <w:lang w:val="en-US" w:eastAsia="zh-CN"/>
        </w:rPr>
        <w:t>13</w:t>
      </w:r>
      <w:r>
        <w:rPr>
          <w:rFonts w:hint="eastAsia" w:ascii="宋体" w:hAnsi="宋体" w:eastAsia="宋体" w:cs="宋体"/>
          <w:color w:val="000000"/>
          <w:sz w:val="24"/>
          <w:szCs w:val="24"/>
        </w:rPr>
        <w:t xml:space="preserve">  In vitro transcription response system</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8"/>
        <w:gridCol w:w="442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bottom w:val="single" w:color="auto" w:sz="4" w:space="0"/>
            </w:tcBorders>
            <w:vAlign w:val="center"/>
          </w:tcPr>
          <w:p>
            <w:pPr>
              <w:tabs>
                <w:tab w:val="left" w:pos="871"/>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组分</w:t>
            </w:r>
          </w:p>
        </w:tc>
        <w:tc>
          <w:tcPr>
            <w:tcW w:w="250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体积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2×NTP/ARCA</w:t>
            </w:r>
          </w:p>
        </w:tc>
        <w:tc>
          <w:tcPr>
            <w:tcW w:w="2500"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10×T7 Reaction Buffer</w:t>
            </w:r>
          </w:p>
        </w:tc>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Cas9体外转录的DNA模板</w:t>
            </w:r>
          </w:p>
        </w:tc>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约1 μg</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T7 Enzyme Mix</w:t>
            </w:r>
          </w:p>
        </w:tc>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无酶水</w:t>
            </w:r>
          </w:p>
        </w:tc>
        <w:tc>
          <w:tcPr>
            <w:tcW w:w="250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加水将总体积定容至20 μL</w:t>
            </w:r>
          </w:p>
        </w:tc>
      </w:tr>
    </w:tbl>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注意：T7 Reaction Buffer需恢复至常温才可加入到体系中，否则低温条件下其成分可引起DNA模板产生沉淀。</w:t>
      </w:r>
    </w:p>
    <w:p>
      <w:pPr>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Note: T7 reaction buffer can be added to the system only after it is restored to normal temperature, otherwise, its components can cause DNA template to precipitate under low temperature.</w:t>
      </w:r>
    </w:p>
    <w:p>
      <w:pPr>
        <w:adjustRightInd w:val="0"/>
        <w:snapToGrid w:val="0"/>
        <w:spacing w:line="360" w:lineRule="auto"/>
        <w:rPr>
          <w:rFonts w:hint="eastAsia" w:ascii="宋体" w:hAnsi="宋体" w:eastAsia="宋体" w:cs="宋体"/>
          <w:color w:val="000000"/>
          <w:sz w:val="24"/>
          <w:szCs w:val="24"/>
        </w:rPr>
      </w:pPr>
    </w:p>
    <w:p>
      <w:pPr>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去除DNA模板：加入1 μL的TURBO DNase，反应条件为37℃，15 min。</w:t>
      </w:r>
    </w:p>
    <w:p>
      <w:pPr>
        <w:numPr>
          <w:ilvl w:val="0"/>
          <w:numId w:val="2"/>
        </w:num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对mRNA加入polyA序列，使mRNA更稳定性，反应体系参照表</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，反应条件为37℃，30-45 min。</w:t>
      </w:r>
    </w:p>
    <w:p>
      <w:pPr>
        <w:spacing w:line="360" w:lineRule="auto"/>
        <w:rPr>
          <w:rFonts w:hint="eastAsia" w:ascii="宋体" w:hAnsi="宋体" w:eastAsia="宋体" w:cs="宋体"/>
          <w:color w:val="000000"/>
          <w:sz w:val="24"/>
          <w:szCs w:val="24"/>
        </w:rPr>
      </w:pPr>
    </w:p>
    <w:p>
      <w:pPr>
        <w:spacing w:line="360" w:lineRule="auto"/>
        <w:rPr>
          <w:rFonts w:hint="eastAsia" w:ascii="宋体" w:hAnsi="宋体" w:eastAsia="宋体" w:cs="宋体"/>
          <w:color w:val="000000"/>
          <w:sz w:val="24"/>
          <w:szCs w:val="24"/>
        </w:rPr>
      </w:pPr>
    </w:p>
    <w:p>
      <w:pPr>
        <w:numPr>
          <w:ilvl w:val="255"/>
          <w:numId w:val="0"/>
        </w:numPr>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表</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 xml:space="preserve">  加polyA反应体系</w:t>
      </w:r>
    </w:p>
    <w:p>
      <w:pPr>
        <w:numPr>
          <w:ilvl w:val="255"/>
          <w:numId w:val="0"/>
        </w:numPr>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Table </w:t>
      </w:r>
      <w:r>
        <w:rPr>
          <w:rFonts w:hint="eastAsia" w:ascii="宋体" w:hAnsi="宋体" w:eastAsia="宋体" w:cs="宋体"/>
          <w:color w:val="000000"/>
          <w:sz w:val="24"/>
          <w:szCs w:val="24"/>
          <w:lang w:val="en-US" w:eastAsia="zh-CN"/>
        </w:rPr>
        <w:t>14</w:t>
      </w:r>
      <w:r>
        <w:rPr>
          <w:rFonts w:hint="eastAsia" w:ascii="宋体" w:hAnsi="宋体" w:eastAsia="宋体" w:cs="宋体"/>
          <w:color w:val="000000"/>
          <w:sz w:val="24"/>
          <w:szCs w:val="24"/>
        </w:rPr>
        <w:t xml:space="preserve">  Add polyA reaction system</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8"/>
        <w:gridCol w:w="442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bottom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组分</w:t>
            </w:r>
          </w:p>
        </w:tc>
        <w:tc>
          <w:tcPr>
            <w:tcW w:w="2500" w:type="pct"/>
            <w:tcBorders>
              <w:bottom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体积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op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上一步的反应产物</w:t>
            </w:r>
          </w:p>
        </w:tc>
        <w:tc>
          <w:tcPr>
            <w:tcW w:w="2500" w:type="pct"/>
            <w:tcBorders>
              <w:top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21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无酶水</w:t>
            </w:r>
          </w:p>
        </w:tc>
        <w:tc>
          <w:tcPr>
            <w:tcW w:w="2500"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35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5×E-PAP Buffer</w:t>
            </w:r>
          </w:p>
        </w:tc>
        <w:tc>
          <w:tcPr>
            <w:tcW w:w="2500"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20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25 mM MnCl</w:t>
            </w:r>
            <w:r>
              <w:rPr>
                <w:rFonts w:hint="eastAsia" w:ascii="宋体" w:hAnsi="宋体" w:eastAsia="宋体" w:cs="宋体"/>
                <w:color w:val="000000"/>
                <w:sz w:val="24"/>
                <w:szCs w:val="24"/>
                <w:vertAlign w:val="subscript"/>
              </w:rPr>
              <w:t>2</w:t>
            </w:r>
          </w:p>
        </w:tc>
        <w:tc>
          <w:tcPr>
            <w:tcW w:w="2500"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ATP Solution</w:t>
            </w:r>
          </w:p>
        </w:tc>
        <w:tc>
          <w:tcPr>
            <w:tcW w:w="2500" w:type="pct"/>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10 μL</w:t>
            </w:r>
          </w:p>
        </w:tc>
      </w:tr>
    </w:tbl>
    <w:p>
      <w:pPr>
        <w:tabs>
          <w:tab w:val="left" w:pos="420"/>
        </w:tabs>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注意：反应完成后应立刻进行Cas9 mRNA纯化，防止RNA降解。</w:t>
      </w:r>
    </w:p>
    <w:p>
      <w:pPr>
        <w:tabs>
          <w:tab w:val="left" w:pos="420"/>
        </w:tabs>
        <w:adjustRightInd w:val="0"/>
        <w:snapToGrid w:val="0"/>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Note: Cas9 mRNA should be purified immediately after the reaction to prevent RNA degradation.</w:t>
      </w:r>
    </w:p>
    <w:p>
      <w:pPr>
        <w:tabs>
          <w:tab w:val="left" w:pos="420"/>
        </w:tabs>
        <w:adjustRightInd w:val="0"/>
        <w:snapToGrid w:val="0"/>
        <w:spacing w:line="360" w:lineRule="auto"/>
        <w:rPr>
          <w:rFonts w:hint="eastAsia" w:ascii="宋体" w:hAnsi="宋体" w:eastAsia="宋体" w:cs="宋体"/>
          <w:color w:val="000000"/>
          <w:sz w:val="24"/>
          <w:szCs w:val="24"/>
        </w:rPr>
      </w:pPr>
    </w:p>
    <w:p>
      <w:pPr>
        <w:tabs>
          <w:tab w:val="left" w:pos="420"/>
        </w:tabs>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3.2.</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 xml:space="preserve">  Cas9 mRNA的纯化</w:t>
      </w:r>
    </w:p>
    <w:p>
      <w:pPr>
        <w:tabs>
          <w:tab w:val="left" w:pos="420"/>
        </w:tabs>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为了去除RNA酶和其他杂质，先用苯酚/氯仿/异戊醇抽提RNA，再用乙酸钠和乙醇沉淀</w:t>
      </w:r>
      <w:r>
        <w:rPr>
          <w:rFonts w:hint="eastAsia" w:ascii="宋体" w:hAnsi="宋体" w:eastAsia="宋体" w:cs="宋体"/>
          <w:color w:val="000000"/>
          <w:sz w:val="24"/>
          <w:szCs w:val="24"/>
          <w:lang w:val="en-US" w:eastAsia="zh-CN"/>
        </w:rPr>
        <w:t>RNA</w:t>
      </w:r>
      <w:r>
        <w:rPr>
          <w:rFonts w:hint="eastAsia" w:ascii="宋体" w:hAnsi="宋体" w:eastAsia="宋体" w:cs="宋体"/>
          <w:color w:val="000000"/>
          <w:sz w:val="24"/>
          <w:szCs w:val="24"/>
        </w:rPr>
        <w:t>。全程要注意采用无RNA酶的枪头和手套。最后要加入适量的胚胎水溶解Cas9 mRNA，并分装于无RNA酶的PCR管中（4 μL/管），-80℃冰箱保存。Cas9 mRNA要保证浓度大于500 ng/μL。</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bookmarkStart w:id="161" w:name="_Toc22638"/>
      <w:bookmarkStart w:id="162" w:name="_Toc15058"/>
      <w:bookmarkStart w:id="163" w:name="_Toc15755"/>
      <w:bookmarkStart w:id="164" w:name="_Toc26567"/>
      <w:bookmarkStart w:id="165" w:name="_Toc22093"/>
      <w:bookmarkStart w:id="166" w:name="_Toc27663"/>
      <w:bookmarkStart w:id="167" w:name="_Toc32627"/>
      <w:bookmarkStart w:id="168" w:name="_Toc16056"/>
      <w:bookmarkStart w:id="169" w:name="_Toc12363"/>
      <w:bookmarkStart w:id="170" w:name="_Toc2378"/>
      <w:bookmarkStart w:id="171" w:name="_Toc13927"/>
      <w:bookmarkStart w:id="172" w:name="_Toc27134"/>
      <w:bookmarkStart w:id="173" w:name="_Toc24053"/>
      <w:bookmarkStart w:id="174" w:name="_Toc30313"/>
      <w:bookmarkStart w:id="175" w:name="_Toc15912"/>
      <w:bookmarkStart w:id="176" w:name="_Toc7457"/>
      <w:bookmarkStart w:id="177" w:name="_Toc26799"/>
      <w:bookmarkStart w:id="178" w:name="_Toc29243"/>
      <w:bookmarkStart w:id="179" w:name="_Toc4725"/>
      <w:bookmarkStart w:id="180" w:name="_Toc18650"/>
      <w:r>
        <w:rPr>
          <w:rFonts w:hint="eastAsia" w:ascii="宋体" w:hAnsi="宋体" w:eastAsia="宋体" w:cs="宋体"/>
          <w:kern w:val="0"/>
          <w:sz w:val="24"/>
          <w:szCs w:val="24"/>
          <w:lang w:val="en-US" w:eastAsia="zh-CN" w:bidi="ar-SA"/>
        </w:rPr>
        <w:t>3.2.4  同步发情</w:t>
      </w:r>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pPr>
        <w:tabs>
          <w:tab w:val="left" w:pos="420"/>
        </w:tabs>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选择4-7头健康的性成熟雌性西藏小型猪（7月龄以上）作为供卵母猪，进行同步发情处理。每头母猪每日早上8点喂服</w:t>
      </w:r>
      <w:r>
        <w:rPr>
          <w:rFonts w:hint="eastAsia" w:ascii="宋体" w:hAnsi="宋体" w:eastAsia="宋体" w:cs="宋体"/>
          <w:bCs/>
          <w:color w:val="000000"/>
          <w:sz w:val="24"/>
          <w:szCs w:val="24"/>
          <w:lang w:val="en-US" w:eastAsia="zh-CN"/>
        </w:rPr>
        <w:t>20 mg</w:t>
      </w:r>
      <w:r>
        <w:rPr>
          <w:rFonts w:hint="eastAsia" w:ascii="宋体" w:hAnsi="宋体" w:eastAsia="宋体" w:cs="宋体"/>
          <w:bCs/>
          <w:color w:val="000000"/>
          <w:sz w:val="24"/>
          <w:szCs w:val="24"/>
        </w:rPr>
        <w:t>四烯雌酮口服乳浊液，一日一次，持续服用18天。停药后第</w:t>
      </w:r>
      <w:r>
        <w:rPr>
          <w:rFonts w:hint="eastAsia" w:ascii="宋体" w:hAnsi="宋体" w:eastAsia="宋体" w:cs="宋体"/>
          <w:bCs/>
          <w:color w:val="000000"/>
          <w:sz w:val="24"/>
          <w:szCs w:val="24"/>
          <w:lang w:val="en-US" w:eastAsia="zh-CN"/>
        </w:rPr>
        <w:t>4</w:t>
      </w:r>
      <w:r>
        <w:rPr>
          <w:rFonts w:hint="eastAsia" w:ascii="宋体" w:hAnsi="宋体" w:eastAsia="宋体" w:cs="宋体"/>
          <w:bCs/>
          <w:color w:val="000000"/>
          <w:sz w:val="24"/>
          <w:szCs w:val="24"/>
        </w:rPr>
        <w:t>天始，每天早晚各观察发情一次，大部分母猪会在停药后5-8天内出现发情。</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bookmarkStart w:id="181" w:name="_Toc10579"/>
      <w:bookmarkStart w:id="182" w:name="_Toc12539"/>
      <w:bookmarkStart w:id="183" w:name="_Toc13161"/>
      <w:bookmarkStart w:id="184" w:name="_Toc22912"/>
      <w:bookmarkStart w:id="185" w:name="_Toc10053"/>
      <w:bookmarkStart w:id="186" w:name="_Toc20877"/>
      <w:bookmarkStart w:id="187" w:name="_Toc22484"/>
      <w:bookmarkStart w:id="188" w:name="_Toc32110"/>
      <w:bookmarkStart w:id="189" w:name="_Toc16840"/>
      <w:bookmarkStart w:id="190" w:name="_Toc2864"/>
      <w:bookmarkStart w:id="191" w:name="_Toc26594"/>
      <w:bookmarkStart w:id="192" w:name="_Toc11291"/>
      <w:bookmarkStart w:id="193" w:name="_Toc27770"/>
      <w:bookmarkStart w:id="194" w:name="_Toc7512"/>
      <w:bookmarkStart w:id="195" w:name="_Toc31236"/>
      <w:bookmarkStart w:id="196" w:name="_Toc25639"/>
      <w:bookmarkStart w:id="197" w:name="_Toc20344"/>
      <w:bookmarkStart w:id="198" w:name="_Toc32008"/>
      <w:bookmarkStart w:id="199" w:name="_Toc19928"/>
      <w:bookmarkStart w:id="200" w:name="_Toc28052"/>
      <w:r>
        <w:rPr>
          <w:rFonts w:hint="eastAsia" w:ascii="宋体" w:hAnsi="宋体" w:eastAsia="宋体" w:cs="宋体"/>
          <w:kern w:val="0"/>
          <w:sz w:val="24"/>
          <w:szCs w:val="24"/>
          <w:lang w:val="en-US" w:eastAsia="zh-CN" w:bidi="ar-SA"/>
        </w:rPr>
        <w:t>3.2.5  发情</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r>
        <w:rPr>
          <w:rFonts w:hint="eastAsia" w:ascii="宋体" w:hAnsi="宋体" w:eastAsia="宋体" w:cs="宋体"/>
          <w:kern w:val="0"/>
          <w:sz w:val="24"/>
          <w:szCs w:val="24"/>
          <w:lang w:val="en-US" w:eastAsia="zh-CN" w:bidi="ar-SA"/>
        </w:rPr>
        <w:t>配种</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bCs/>
          <w:color w:val="000000"/>
          <w:sz w:val="24"/>
          <w:szCs w:val="24"/>
        </w:rPr>
        <w:t>母猪在停止喂服四烯雌酮后第5天左右开始有发情迹象，阴道变红变肿。这时每天用公猪试情1-2次，诱导母猪发情更加同步。在上午清洁栏舍前或下午四点左右观察发情。西藏小型猪在发情早期会爬跨其他母猪，圈舍地面较平时脏乱。当西藏小型猪</w:t>
      </w:r>
      <w:r>
        <w:rPr>
          <w:rFonts w:hint="eastAsia" w:ascii="宋体" w:hAnsi="宋体" w:eastAsia="宋体" w:cs="宋体"/>
          <w:sz w:val="24"/>
          <w:szCs w:val="24"/>
        </w:rPr>
        <w:t>处于发情中期时遇公猪会静立不动，此时人</w:t>
      </w:r>
      <w:r>
        <w:rPr>
          <w:rFonts w:hint="eastAsia" w:ascii="宋体" w:hAnsi="宋体" w:eastAsia="宋体" w:cs="宋体"/>
          <w:bCs/>
          <w:color w:val="000000"/>
          <w:sz w:val="24"/>
          <w:szCs w:val="24"/>
        </w:rPr>
        <w:t>用手按压其背部，母猪也静立不动。当母猪进入发情后期，阴道红肿会消退，拒绝公猪交配。西藏小型猪单笼饲养时不易观察发情，但母猪发情时会表现进食减少、烦躁不安。</w:t>
      </w:r>
    </w:p>
    <w:p>
      <w:pPr>
        <w:spacing w:line="360" w:lineRule="auto"/>
        <w:ind w:firstLine="480" w:firstLineChars="200"/>
        <w:rPr>
          <w:rFonts w:hint="eastAsia" w:ascii="宋体" w:hAnsi="宋体" w:eastAsia="宋体" w:cs="宋体"/>
          <w:bCs/>
          <w:color w:val="000000"/>
          <w:sz w:val="24"/>
          <w:szCs w:val="24"/>
        </w:rPr>
      </w:pPr>
      <w:r>
        <w:rPr>
          <w:rFonts w:hint="eastAsia" w:ascii="宋体" w:hAnsi="宋体" w:eastAsia="宋体" w:cs="宋体"/>
          <w:sz w:val="24"/>
          <w:szCs w:val="24"/>
          <w:lang w:val="en-US" w:eastAsia="zh-CN"/>
        </w:rPr>
        <w:t>通过</w:t>
      </w:r>
      <w:r>
        <w:rPr>
          <w:rFonts w:hint="eastAsia" w:ascii="宋体" w:hAnsi="宋体" w:eastAsia="宋体" w:cs="宋体"/>
          <w:sz w:val="24"/>
          <w:szCs w:val="24"/>
        </w:rPr>
        <w:t>阴道细胞涂片结晶紫染色法来判断母猪是否已达到最佳发情状态。首先将棉签轻轻地插入母猪阴道并旋转数圈。抽出棉签，将阴道物均匀涂布在载玻片上，并自然晾干（棉签在玻片上应</w:t>
      </w:r>
      <w:r>
        <w:rPr>
          <w:rFonts w:hint="eastAsia" w:ascii="宋体" w:hAnsi="宋体" w:eastAsia="宋体" w:cs="宋体"/>
          <w:sz w:val="24"/>
          <w:szCs w:val="24"/>
          <w:lang w:val="en-US" w:eastAsia="zh-CN"/>
        </w:rPr>
        <w:t>朝一个方向</w:t>
      </w:r>
      <w:r>
        <w:rPr>
          <w:rFonts w:hint="eastAsia" w:ascii="宋体" w:hAnsi="宋体" w:eastAsia="宋体" w:cs="宋体"/>
          <w:sz w:val="24"/>
          <w:szCs w:val="24"/>
        </w:rPr>
        <w:t>滚动涂布，不可重复涂布，避免细胞重叠影响观察）。然后载玻片用甲醇脱水30 s，并自然晾干。接着结晶紫溶液染色1 min。最后用清水冲洗3次，并再次晾干，显微镜下观察。在普通光学显微镜下观察涂片上的表皮细胞的大小、形态及比例等来判断西藏小型猪的发情阶段。当镜下观察到大部分细胞为边缘皱褶、体积较大且无细胞核的完全角质化鳞状上皮细胞时，母猪处于最佳发情状态。</w:t>
      </w:r>
      <w:r>
        <w:rPr>
          <w:rFonts w:hint="eastAsia" w:ascii="宋体" w:hAnsi="宋体" w:eastAsia="宋体" w:cs="宋体"/>
          <w:bCs/>
          <w:color w:val="000000"/>
          <w:sz w:val="24"/>
          <w:szCs w:val="24"/>
        </w:rPr>
        <w:t>当母猪表现为静立发情，且阴道细胞涂片提示处于最佳发情阶段时，进行配种。采用自然交配方式或人工授精方式进行配种。</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bookmarkStart w:id="201" w:name="_Toc20917"/>
      <w:bookmarkStart w:id="202" w:name="_Toc17662"/>
      <w:bookmarkStart w:id="203" w:name="_Toc27458"/>
      <w:bookmarkStart w:id="204" w:name="_Toc14779"/>
      <w:bookmarkStart w:id="205" w:name="_Toc13036"/>
      <w:bookmarkStart w:id="206" w:name="_Toc26720"/>
      <w:bookmarkStart w:id="207" w:name="_Toc26772"/>
      <w:bookmarkStart w:id="208" w:name="_Toc5017"/>
      <w:bookmarkStart w:id="209" w:name="_Toc21092"/>
      <w:bookmarkStart w:id="210" w:name="_Toc8852"/>
      <w:bookmarkStart w:id="211" w:name="_Toc14284"/>
      <w:bookmarkStart w:id="212" w:name="_Toc11973"/>
      <w:bookmarkStart w:id="213" w:name="_Toc22953"/>
      <w:bookmarkStart w:id="214" w:name="_Toc32440"/>
      <w:bookmarkStart w:id="215" w:name="_Toc3050"/>
      <w:bookmarkStart w:id="216" w:name="_Toc17110"/>
      <w:bookmarkStart w:id="217" w:name="_Toc7673"/>
      <w:bookmarkStart w:id="218" w:name="_Toc31799"/>
      <w:bookmarkStart w:id="219" w:name="_Toc7052"/>
      <w:bookmarkStart w:id="220" w:name="_Toc8148"/>
      <w:r>
        <w:rPr>
          <w:rFonts w:hint="eastAsia" w:ascii="宋体" w:hAnsi="宋体" w:eastAsia="宋体" w:cs="宋体"/>
          <w:kern w:val="0"/>
          <w:sz w:val="24"/>
          <w:szCs w:val="24"/>
          <w:lang w:val="en-US" w:eastAsia="zh-CN" w:bidi="ar-SA"/>
        </w:rPr>
        <w:t>3.2.6  体内冲卵</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p>
    <w:p>
      <w:pPr>
        <w:tabs>
          <w:tab w:val="left" w:pos="420"/>
        </w:tabs>
        <w:spacing w:line="360" w:lineRule="auto"/>
        <w:ind w:firstLine="480"/>
        <w:rPr>
          <w:rFonts w:hint="eastAsia" w:ascii="宋体" w:hAnsi="宋体" w:eastAsia="宋体" w:cs="宋体"/>
          <w:bCs/>
          <w:color w:val="000000"/>
          <w:sz w:val="24"/>
          <w:szCs w:val="24"/>
        </w:rPr>
      </w:pPr>
      <w:r>
        <w:rPr>
          <w:rFonts w:hint="eastAsia" w:ascii="宋体" w:hAnsi="宋体" w:eastAsia="宋体" w:cs="宋体"/>
          <w:bCs/>
          <w:color w:val="000000"/>
          <w:sz w:val="24"/>
          <w:szCs w:val="24"/>
        </w:rPr>
        <w:t>供卵母猪在配种后16-18 h要进行取卵手术，收集单细胞期受精卵。具体步骤如下：（1）术前母猪禁食12 h；（2）静脉注射戊巴比妥钠溶液（用量为30-45 mg/kg）进行麻醉；（3）下腹部剃毛备皮、清洗、手术消毒；（4）在下腹鼠蹊部肌间隙处开出4-6 cm手术切口；（5）将食指和中指从术口探入腹腔内，凭手指触觉分辨出子宫角（相对于肠而言，子宫角壁较厚一些），用双指轻轻将其夹出，将卵巢和输卵管暴露在手术视野中；（6）将无菌塑料导管的一端从输卵管伞部天然开口处插入，另一端置至塑料平皿上；（7）在输卵管子宫角交接处靠近输卵端轻轻插入一根留置针。同时用手捏紧靠近子宫角的输卵管，防止冲卵时液体进入子宫；（8）用注射器将含0.1%牛血清白蛋白的杜氏磷酸盐缓冲溶液从留置针处推入，液体和胚胎经输卵管从伞部开口沿塑料导管被冲入塑料平皿中；（9）在视显微镜下用口吸管捡卵，将卵移至操作液滴中。注意：显微镜应带恒温热台，保持38.5℃。</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bookmarkStart w:id="221" w:name="_Toc16470"/>
      <w:bookmarkStart w:id="222" w:name="_Toc18662"/>
      <w:bookmarkStart w:id="223" w:name="_Toc30943"/>
      <w:bookmarkStart w:id="224" w:name="_Toc601"/>
      <w:bookmarkStart w:id="225" w:name="_Toc8681"/>
      <w:bookmarkStart w:id="226" w:name="_Toc11347"/>
      <w:bookmarkStart w:id="227" w:name="_Toc28235"/>
      <w:bookmarkStart w:id="228" w:name="_Toc7598"/>
      <w:bookmarkStart w:id="229" w:name="_Toc12596"/>
      <w:bookmarkStart w:id="230" w:name="_Toc11272"/>
      <w:bookmarkStart w:id="231" w:name="_Toc31980"/>
      <w:bookmarkStart w:id="232" w:name="_Toc26827"/>
      <w:bookmarkStart w:id="233" w:name="_Toc16922"/>
      <w:bookmarkStart w:id="234" w:name="_Toc2890"/>
      <w:bookmarkStart w:id="235" w:name="_Toc12881"/>
      <w:bookmarkStart w:id="236" w:name="_Toc20667"/>
      <w:bookmarkStart w:id="237" w:name="_Toc15555"/>
      <w:bookmarkStart w:id="238" w:name="_Toc7539"/>
      <w:bookmarkStart w:id="239" w:name="_Toc23842"/>
      <w:bookmarkStart w:id="240" w:name="_Toc26619"/>
      <w:r>
        <w:rPr>
          <w:rFonts w:hint="eastAsia" w:ascii="宋体" w:hAnsi="宋体" w:eastAsia="宋体" w:cs="宋体"/>
          <w:kern w:val="0"/>
          <w:sz w:val="24"/>
          <w:szCs w:val="24"/>
          <w:lang w:val="en-US" w:eastAsia="zh-CN" w:bidi="ar-SA"/>
        </w:rPr>
        <w:t>3.2.7  胚胎运输</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猪胚胎应在38.5</w:t>
      </w:r>
      <w:r>
        <w:rPr>
          <w:rFonts w:hint="eastAsia" w:ascii="宋体" w:hAnsi="宋体" w:eastAsia="宋体" w:cs="宋体"/>
          <w:bCs/>
          <w:color w:val="000000"/>
          <w:sz w:val="24"/>
          <w:szCs w:val="24"/>
        </w:rPr>
        <w:t>℃保持活力，当猪卵暴露在低温环境中时极易死亡，采集到的胚胎必须严格恒温运输。采用简易装置进行短途运输</w:t>
      </w:r>
      <w:r>
        <w:rPr>
          <w:rFonts w:hint="eastAsia" w:ascii="宋体" w:hAnsi="宋体" w:eastAsia="宋体" w:cs="宋体"/>
          <w:bCs/>
          <w:color w:val="000000"/>
          <w:sz w:val="24"/>
          <w:szCs w:val="24"/>
        </w:rPr>
        <w:fldChar w:fldCharType="begin"/>
      </w:r>
      <w:r>
        <w:rPr>
          <w:rFonts w:hint="eastAsia" w:ascii="宋体" w:hAnsi="宋体" w:eastAsia="宋体" w:cs="宋体"/>
          <w:bCs/>
          <w:color w:val="000000"/>
          <w:sz w:val="24"/>
          <w:szCs w:val="24"/>
          <w:lang w:eastAsia="zh-CN"/>
        </w:rPr>
        <w:instrText xml:space="preserve"> ADDIN NE.Ref.{77F6BCEF-A63D-4062-9063-977DEDBF0A73}</w:instrText>
      </w:r>
      <w:r>
        <w:rPr>
          <w:rFonts w:hint="eastAsia" w:ascii="宋体" w:hAnsi="宋体" w:eastAsia="宋体" w:cs="宋体"/>
          <w:bCs/>
          <w:color w:val="000000"/>
          <w:sz w:val="24"/>
          <w:szCs w:val="24"/>
        </w:rPr>
        <w:fldChar w:fldCharType="separate"/>
      </w:r>
      <w:r>
        <w:rPr>
          <w:rFonts w:hint="eastAsia" w:ascii="等线" w:hAnsi="等线" w:eastAsia="等线"/>
          <w:color w:val="080000"/>
          <w:sz w:val="21"/>
          <w:vertAlign w:val="superscript"/>
        </w:rPr>
        <w:t>[1</w:t>
      </w:r>
      <w:r>
        <w:rPr>
          <w:rFonts w:hint="eastAsia" w:ascii="等线" w:hAnsi="等线" w:eastAsia="等线"/>
          <w:color w:val="080000"/>
          <w:sz w:val="21"/>
          <w:vertAlign w:val="superscript"/>
          <w:lang w:val="en-US" w:eastAsia="zh-CN"/>
        </w:rPr>
        <w:t>6</w:t>
      </w:r>
      <w:r>
        <w:rPr>
          <w:rFonts w:hint="eastAsia" w:ascii="等线" w:hAnsi="等线" w:eastAsia="等线"/>
          <w:color w:val="080000"/>
          <w:sz w:val="21"/>
          <w:vertAlign w:val="superscript"/>
        </w:rPr>
        <w:t>]</w:t>
      </w:r>
      <w:r>
        <w:rPr>
          <w:rFonts w:hint="eastAsia" w:ascii="宋体" w:hAnsi="宋体" w:eastAsia="宋体" w:cs="宋体"/>
          <w:bCs/>
          <w:color w:val="000000"/>
          <w:sz w:val="24"/>
          <w:szCs w:val="24"/>
        </w:rPr>
        <w:fldChar w:fldCharType="end"/>
      </w:r>
      <w:r>
        <w:rPr>
          <w:rFonts w:hint="eastAsia" w:ascii="宋体" w:hAnsi="宋体" w:eastAsia="宋体" w:cs="宋体"/>
          <w:bCs/>
          <w:color w:val="000000"/>
          <w:sz w:val="24"/>
          <w:szCs w:val="24"/>
        </w:rPr>
        <w:t>，步骤如下：</w:t>
      </w:r>
      <w:r>
        <w:rPr>
          <w:rFonts w:hint="eastAsia" w:ascii="宋体" w:hAnsi="宋体" w:eastAsia="宋体" w:cs="宋体"/>
          <w:sz w:val="24"/>
          <w:szCs w:val="24"/>
        </w:rPr>
        <w:t>（1）先用无菌麦管依次吸入：约1 cm的TCM-199操作液液段，约1 cm的空气段，约1.5 cm含有胚胎的TCM-199操作液液段，约1 cm的空气段，约1 cm的TCM-199操作液液段；（2）将麦管两端用烧热的钳子封管；（3）将麦管一端固定在泡沫浮标中；（4）再将麦管和浮标装入有38.5℃温水的真空保温瓶中，并尽快送回实验室。</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bookmarkStart w:id="241" w:name="_Toc12052"/>
      <w:bookmarkStart w:id="242" w:name="_Toc19171"/>
      <w:bookmarkStart w:id="243" w:name="_Toc29977"/>
      <w:bookmarkStart w:id="244" w:name="_Toc5236"/>
      <w:bookmarkStart w:id="245" w:name="_Toc25975"/>
      <w:bookmarkStart w:id="246" w:name="_Toc11758"/>
      <w:bookmarkStart w:id="247" w:name="_Toc5402"/>
      <w:bookmarkStart w:id="248" w:name="_Toc20413"/>
      <w:bookmarkStart w:id="249" w:name="_Toc8553"/>
      <w:bookmarkStart w:id="250" w:name="_Toc22266"/>
      <w:bookmarkStart w:id="251" w:name="_Toc27592"/>
      <w:bookmarkStart w:id="252" w:name="_Toc7575"/>
      <w:bookmarkStart w:id="253" w:name="_Toc24388"/>
      <w:bookmarkStart w:id="254" w:name="_Toc30691"/>
      <w:bookmarkStart w:id="255" w:name="_Toc23760"/>
      <w:bookmarkStart w:id="256" w:name="_Toc6076"/>
      <w:bookmarkStart w:id="257" w:name="_Toc4515"/>
      <w:bookmarkStart w:id="258" w:name="_Toc5720"/>
      <w:bookmarkStart w:id="259" w:name="_Toc10508"/>
      <w:bookmarkStart w:id="260" w:name="_Toc22477"/>
      <w:r>
        <w:rPr>
          <w:rFonts w:hint="eastAsia" w:ascii="宋体" w:hAnsi="宋体" w:eastAsia="宋体" w:cs="宋体"/>
          <w:kern w:val="0"/>
          <w:sz w:val="24"/>
          <w:szCs w:val="24"/>
          <w:lang w:val="en-US" w:eastAsia="zh-CN" w:bidi="ar-SA"/>
        </w:rPr>
        <w:t>3.2.8  胚胎培养</w:t>
      </w:r>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p>
    <w:p>
      <w:pPr>
        <w:spacing w:line="360" w:lineRule="auto"/>
        <w:ind w:firstLine="480" w:firstLineChars="200"/>
        <w:rPr>
          <w:rFonts w:hint="eastAsia" w:ascii="宋体" w:hAnsi="宋体" w:eastAsia="宋体" w:cs="宋体"/>
          <w:color w:val="000000"/>
          <w:sz w:val="24"/>
          <w:szCs w:val="24"/>
          <w:lang w:eastAsia="zh-CN"/>
        </w:rPr>
      </w:pPr>
      <w:r>
        <w:rPr>
          <w:rFonts w:hint="eastAsia" w:ascii="宋体" w:hAnsi="宋体" w:eastAsia="宋体" w:cs="宋体"/>
          <w:sz w:val="24"/>
          <w:szCs w:val="24"/>
        </w:rPr>
        <w:t>显微注射前应将胚胎放入PZM-3培养基液滴中，在含5% CO</w:t>
      </w:r>
      <w:r>
        <w:rPr>
          <w:rFonts w:hint="eastAsia" w:ascii="宋体" w:hAnsi="宋体" w:eastAsia="宋体" w:cs="宋体"/>
          <w:sz w:val="24"/>
          <w:szCs w:val="24"/>
          <w:vertAlign w:val="subscript"/>
        </w:rPr>
        <w:t>2</w:t>
      </w:r>
      <w:r>
        <w:rPr>
          <w:rFonts w:hint="eastAsia" w:ascii="宋体" w:hAnsi="宋体" w:eastAsia="宋体" w:cs="宋体"/>
          <w:sz w:val="24"/>
          <w:szCs w:val="24"/>
        </w:rPr>
        <w:t>的38.5℃培养箱培养半小时以上。注意：PZM-3液滴需要在取卵前一天晚上做好，放入CO</w:t>
      </w:r>
      <w:r>
        <w:rPr>
          <w:rFonts w:hint="eastAsia" w:ascii="宋体" w:hAnsi="宋体" w:eastAsia="宋体" w:cs="宋体"/>
          <w:sz w:val="24"/>
          <w:szCs w:val="24"/>
          <w:vertAlign w:val="subscript"/>
        </w:rPr>
        <w:t>2</w:t>
      </w:r>
      <w:r>
        <w:rPr>
          <w:rFonts w:hint="eastAsia" w:ascii="宋体" w:hAnsi="宋体" w:eastAsia="宋体" w:cs="宋体"/>
          <w:sz w:val="24"/>
          <w:szCs w:val="24"/>
        </w:rPr>
        <w:t>培养箱中平衡12 h才能使用。显微注射操作时，将</w:t>
      </w:r>
      <w:r>
        <w:rPr>
          <w:rFonts w:hint="eastAsia" w:ascii="宋体" w:hAnsi="宋体" w:eastAsia="宋体" w:cs="宋体"/>
          <w:sz w:val="24"/>
          <w:szCs w:val="24"/>
          <w:lang w:val="en-US" w:eastAsia="zh-CN"/>
        </w:rPr>
        <w:t>胚胎</w:t>
      </w:r>
      <w:r>
        <w:rPr>
          <w:rFonts w:hint="eastAsia" w:ascii="宋体" w:hAnsi="宋体" w:eastAsia="宋体" w:cs="宋体"/>
          <w:sz w:val="24"/>
          <w:szCs w:val="24"/>
        </w:rPr>
        <w:t>移至于含TCM-199的操作液中。</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bookmarkStart w:id="261" w:name="_Toc9799"/>
      <w:bookmarkStart w:id="262" w:name="_Toc30965"/>
      <w:bookmarkStart w:id="263" w:name="_Toc18746"/>
      <w:bookmarkStart w:id="264" w:name="_Toc6803"/>
      <w:bookmarkStart w:id="265" w:name="_Toc15989"/>
      <w:bookmarkStart w:id="266" w:name="_Toc20949"/>
      <w:bookmarkStart w:id="267" w:name="_Toc3638"/>
      <w:bookmarkStart w:id="268" w:name="_Toc1537"/>
      <w:bookmarkStart w:id="269" w:name="_Toc4604"/>
      <w:bookmarkStart w:id="270" w:name="_Toc30779"/>
      <w:bookmarkStart w:id="271" w:name="_Toc6500"/>
      <w:bookmarkStart w:id="272" w:name="_Toc4402"/>
      <w:bookmarkStart w:id="273" w:name="_Toc28146"/>
      <w:bookmarkStart w:id="274" w:name="_Toc10581"/>
      <w:bookmarkStart w:id="275" w:name="_Toc9207"/>
      <w:bookmarkStart w:id="276" w:name="_Toc30294"/>
      <w:bookmarkStart w:id="277" w:name="_Toc15468"/>
      <w:bookmarkStart w:id="278" w:name="_Toc23"/>
      <w:bookmarkStart w:id="279" w:name="_Toc20451"/>
      <w:bookmarkStart w:id="280" w:name="_Toc37"/>
      <w:r>
        <w:rPr>
          <w:rFonts w:hint="eastAsia" w:ascii="宋体" w:hAnsi="宋体" w:eastAsia="宋体" w:cs="宋体"/>
          <w:kern w:val="0"/>
          <w:sz w:val="24"/>
          <w:szCs w:val="24"/>
          <w:lang w:val="en-US" w:eastAsia="zh-CN" w:bidi="ar-SA"/>
        </w:rPr>
        <w:t>3.2.9  显微注射</w:t>
      </w:r>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配制</w:t>
      </w:r>
      <w:r>
        <w:rPr>
          <w:rFonts w:hint="eastAsia" w:ascii="宋体" w:hAnsi="宋体" w:eastAsia="宋体" w:cs="宋体"/>
          <w:sz w:val="24"/>
          <w:szCs w:val="24"/>
        </w:rPr>
        <w:t>显微注射</w:t>
      </w:r>
      <w:r>
        <w:rPr>
          <w:rFonts w:hint="eastAsia" w:ascii="宋体" w:hAnsi="宋体" w:eastAsia="宋体" w:cs="宋体"/>
          <w:sz w:val="24"/>
          <w:szCs w:val="24"/>
          <w:lang w:val="en-US" w:eastAsia="zh-CN"/>
        </w:rPr>
        <w:t>的</w:t>
      </w:r>
      <w:r>
        <w:rPr>
          <w:rFonts w:hint="eastAsia" w:ascii="宋体" w:hAnsi="宋体" w:eastAsia="宋体" w:cs="宋体"/>
          <w:sz w:val="24"/>
          <w:szCs w:val="24"/>
        </w:rPr>
        <w:t xml:space="preserve">RNA溶液中，Cas9 mRNA的终浓度是100 </w:t>
      </w:r>
      <w:r>
        <w:rPr>
          <w:rFonts w:hint="eastAsia" w:ascii="宋体" w:hAnsi="宋体" w:eastAsia="宋体" w:cs="宋体"/>
          <w:color w:val="000000"/>
          <w:sz w:val="24"/>
          <w:szCs w:val="24"/>
          <w:lang w:val="en-GB"/>
        </w:rPr>
        <w:t>ng/µ</w:t>
      </w:r>
      <w:r>
        <w:rPr>
          <w:rFonts w:hint="eastAsia" w:ascii="宋体" w:hAnsi="宋体" w:eastAsia="宋体" w:cs="宋体"/>
          <w:color w:val="000000"/>
          <w:sz w:val="24"/>
          <w:szCs w:val="24"/>
        </w:rPr>
        <w:t>L</w:t>
      </w:r>
      <w:r>
        <w:rPr>
          <w:rFonts w:hint="eastAsia" w:ascii="宋体" w:hAnsi="宋体" w:eastAsia="宋体" w:cs="宋体"/>
          <w:color w:val="000000"/>
          <w:sz w:val="24"/>
          <w:szCs w:val="24"/>
          <w:lang w:val="en-GB"/>
        </w:rPr>
        <w:t>，</w:t>
      </w:r>
      <w:r>
        <w:rPr>
          <w:rFonts w:hint="eastAsia" w:ascii="宋体" w:hAnsi="宋体" w:eastAsia="宋体" w:cs="宋体"/>
          <w:color w:val="000000"/>
          <w:sz w:val="24"/>
          <w:szCs w:val="24"/>
        </w:rPr>
        <w:t>每种sgRNA的终浓度</w:t>
      </w:r>
      <w:r>
        <w:rPr>
          <w:rFonts w:hint="eastAsia" w:ascii="宋体" w:hAnsi="宋体" w:eastAsia="宋体" w:cs="宋体"/>
          <w:color w:val="000000"/>
          <w:sz w:val="24"/>
          <w:szCs w:val="24"/>
          <w:lang w:val="en-US" w:eastAsia="zh-CN"/>
        </w:rPr>
        <w:t>均为</w:t>
      </w:r>
      <w:r>
        <w:rPr>
          <w:rFonts w:hint="eastAsia" w:ascii="宋体" w:hAnsi="宋体" w:eastAsia="宋体" w:cs="宋体"/>
          <w:color w:val="000000"/>
          <w:sz w:val="24"/>
          <w:szCs w:val="24"/>
        </w:rPr>
        <w:t xml:space="preserve">50 </w:t>
      </w:r>
      <w:r>
        <w:rPr>
          <w:rFonts w:hint="eastAsia" w:ascii="宋体" w:hAnsi="宋体" w:eastAsia="宋体" w:cs="宋体"/>
          <w:color w:val="000000"/>
          <w:sz w:val="24"/>
          <w:szCs w:val="24"/>
          <w:lang w:val="en-GB"/>
        </w:rPr>
        <w:t>ng/µ</w:t>
      </w:r>
      <w:r>
        <w:rPr>
          <w:rFonts w:hint="eastAsia" w:ascii="宋体" w:hAnsi="宋体" w:eastAsia="宋体" w:cs="宋体"/>
          <w:color w:val="000000"/>
          <w:sz w:val="24"/>
          <w:szCs w:val="24"/>
        </w:rPr>
        <w:t>L</w:t>
      </w:r>
      <w:r>
        <w:rPr>
          <w:rFonts w:hint="eastAsia" w:ascii="宋体" w:hAnsi="宋体" w:eastAsia="宋体" w:cs="宋体"/>
          <w:color w:val="000000"/>
          <w:sz w:val="24"/>
          <w:szCs w:val="24"/>
          <w:lang w:val="en-GB"/>
        </w:rPr>
        <w:t>。</w:t>
      </w:r>
      <w:r>
        <w:rPr>
          <w:rFonts w:hint="eastAsia" w:ascii="宋体" w:hAnsi="宋体" w:eastAsia="宋体" w:cs="宋体"/>
          <w:color w:val="000000"/>
          <w:sz w:val="24"/>
          <w:szCs w:val="24"/>
        </w:rPr>
        <w:t>在受精卵处于</w:t>
      </w:r>
      <w:r>
        <w:rPr>
          <w:rFonts w:hint="eastAsia" w:ascii="宋体" w:hAnsi="宋体" w:eastAsia="宋体" w:cs="宋体"/>
          <w:sz w:val="24"/>
          <w:szCs w:val="24"/>
        </w:rPr>
        <w:t>单细胞期或二细胞期时进行胞质内注射。二细胞期注射时，对卵中的每个细胞分别进行注射。</w:t>
      </w:r>
      <w:r>
        <w:rPr>
          <w:rFonts w:hint="eastAsia" w:ascii="宋体" w:hAnsi="宋体" w:eastAsia="宋体" w:cs="宋体"/>
          <w:color w:val="000000"/>
          <w:sz w:val="24"/>
          <w:szCs w:val="24"/>
        </w:rPr>
        <w:t>本研究采用的是</w:t>
      </w:r>
      <w:r>
        <w:rPr>
          <w:rFonts w:hint="eastAsia" w:ascii="宋体" w:hAnsi="宋体" w:eastAsia="宋体" w:cs="宋体"/>
          <w:color w:val="000000"/>
          <w:sz w:val="24"/>
          <w:szCs w:val="24"/>
          <w:lang w:val="en-GB"/>
        </w:rPr>
        <w:t>TransferMan NK2</w:t>
      </w:r>
      <w:r>
        <w:rPr>
          <w:rFonts w:hint="eastAsia" w:ascii="宋体" w:hAnsi="宋体" w:eastAsia="宋体" w:cs="宋体"/>
          <w:color w:val="000000"/>
          <w:sz w:val="24"/>
          <w:szCs w:val="24"/>
        </w:rPr>
        <w:t>显微注射操作系统</w:t>
      </w:r>
      <w:r>
        <w:rPr>
          <w:rFonts w:hint="eastAsia" w:ascii="宋体" w:hAnsi="宋体" w:eastAsia="宋体" w:cs="宋体"/>
          <w:color w:val="000000"/>
          <w:sz w:val="24"/>
          <w:szCs w:val="24"/>
          <w:lang w:val="en-GB"/>
        </w:rPr>
        <w:t>。</w:t>
      </w:r>
      <w:r>
        <w:rPr>
          <w:rFonts w:hint="eastAsia" w:ascii="宋体" w:hAnsi="宋体" w:eastAsia="宋体" w:cs="宋体"/>
          <w:color w:val="000000"/>
          <w:sz w:val="24"/>
          <w:szCs w:val="24"/>
        </w:rPr>
        <w:t>完成显微注射后，将胚胎移至平衡好的PZM-3培育基中，于</w:t>
      </w:r>
      <w:r>
        <w:rPr>
          <w:rFonts w:hint="eastAsia" w:ascii="宋体" w:hAnsi="宋体" w:eastAsia="宋体" w:cs="宋体"/>
          <w:sz w:val="24"/>
          <w:szCs w:val="24"/>
        </w:rPr>
        <w:t>含5% CO</w:t>
      </w:r>
      <w:r>
        <w:rPr>
          <w:rFonts w:hint="eastAsia" w:ascii="宋体" w:hAnsi="宋体" w:eastAsia="宋体" w:cs="宋体"/>
          <w:sz w:val="24"/>
          <w:szCs w:val="24"/>
          <w:vertAlign w:val="subscript"/>
        </w:rPr>
        <w:t>2</w:t>
      </w:r>
      <w:r>
        <w:rPr>
          <w:rFonts w:hint="eastAsia" w:ascii="宋体" w:hAnsi="宋体" w:eastAsia="宋体" w:cs="宋体"/>
          <w:sz w:val="24"/>
          <w:szCs w:val="24"/>
        </w:rPr>
        <w:t>的38.5℃培养箱中培养1 h，再进行胚胎移植。</w:t>
      </w:r>
    </w:p>
    <w:p>
      <w:pPr>
        <w:widowControl w:val="0"/>
        <w:spacing w:beforeAutospacing="1" w:afterAutospacing="1" w:line="360" w:lineRule="auto"/>
        <w:jc w:val="left"/>
        <w:outlineLvl w:val="2"/>
        <w:rPr>
          <w:rFonts w:hint="eastAsia" w:ascii="宋体" w:hAnsi="宋体" w:eastAsia="宋体" w:cs="宋体"/>
          <w:kern w:val="0"/>
          <w:sz w:val="24"/>
          <w:szCs w:val="24"/>
          <w:lang w:val="en-US" w:eastAsia="zh-CN" w:bidi="ar-SA"/>
        </w:rPr>
      </w:pPr>
      <w:bookmarkStart w:id="281" w:name="_Toc20304"/>
      <w:bookmarkStart w:id="282" w:name="_Toc11657"/>
      <w:bookmarkStart w:id="283" w:name="_Toc4550"/>
      <w:bookmarkStart w:id="284" w:name="_Toc31611"/>
      <w:bookmarkStart w:id="285" w:name="_Toc20052"/>
      <w:bookmarkStart w:id="286" w:name="_Toc8816"/>
      <w:bookmarkStart w:id="287" w:name="_Toc28480"/>
      <w:bookmarkStart w:id="288" w:name="_Toc13317"/>
      <w:bookmarkStart w:id="289" w:name="_Toc2511"/>
      <w:bookmarkStart w:id="290" w:name="_Toc16806"/>
      <w:bookmarkStart w:id="291" w:name="_Toc27411"/>
      <w:bookmarkStart w:id="292" w:name="_Toc7131"/>
      <w:bookmarkStart w:id="293" w:name="_Toc15862"/>
      <w:bookmarkStart w:id="294" w:name="_Toc25321"/>
      <w:bookmarkStart w:id="295" w:name="_Toc11433"/>
      <w:bookmarkStart w:id="296" w:name="_Toc22808"/>
      <w:bookmarkStart w:id="297" w:name="_Toc28369"/>
      <w:bookmarkStart w:id="298" w:name="_Toc4041"/>
      <w:bookmarkStart w:id="299" w:name="_Toc19485"/>
      <w:bookmarkStart w:id="300" w:name="_Toc13937"/>
      <w:r>
        <w:rPr>
          <w:rFonts w:hint="eastAsia" w:ascii="宋体" w:hAnsi="宋体" w:eastAsia="宋体" w:cs="宋体"/>
          <w:kern w:val="0"/>
          <w:sz w:val="24"/>
          <w:szCs w:val="24"/>
          <w:lang w:val="en-US" w:eastAsia="zh-CN" w:bidi="ar-SA"/>
        </w:rPr>
        <w:t>3.2.10  胚胎移植</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西藏小型猪胚胎移植通过手术进行。一般每头代孕母猪移植10～15枚受精卵。对处于发情期的代孕母猪进行麻醉后，剃毛、备皮、消毒、铺巾。在下腹鼠蹊部开一小口，露出卵巢和输卵管。将胚胎吸至胚胎移植管，</w:t>
      </w:r>
      <w:r>
        <w:rPr>
          <w:rFonts w:hint="eastAsia" w:ascii="宋体" w:hAnsi="宋体" w:eastAsia="宋体" w:cs="宋体"/>
          <w:sz w:val="24"/>
          <w:szCs w:val="24"/>
          <w:lang w:val="en-US" w:eastAsia="zh-CN"/>
        </w:rPr>
        <w:t>吸入的</w:t>
      </w:r>
      <w:r>
        <w:rPr>
          <w:rFonts w:hint="eastAsia" w:ascii="宋体" w:hAnsi="宋体" w:eastAsia="宋体" w:cs="宋体"/>
          <w:sz w:val="24"/>
          <w:szCs w:val="24"/>
        </w:rPr>
        <w:t>液体和空气尽可能少。将胚胎移植管轻轻从输卵管伞部开口插入，进至输卵管第一个大弯曲之后。将移植管内含胚胎的液体注入输卵管，并把移植管退出，然后将卵巢和输卵管放回腹腔，逐层缝合伤口。胚胎移植一般只需移植一侧的输卵管即可。术后连续3天肌肉注射青霉素和链霉素预防感染。移植后第19～21天及第40天，用猪验孕卡或B超仪检测是否妊娠，妊娠过程中留意代孕母猪有无返情。</w:t>
      </w:r>
    </w:p>
    <w:p>
      <w:pPr>
        <w:pStyle w:val="3"/>
        <w:rPr>
          <w:rFonts w:hint="eastAsia" w:ascii="宋体" w:hAnsi="宋体" w:eastAsia="宋体" w:cs="宋体"/>
          <w:sz w:val="24"/>
          <w:szCs w:val="24"/>
          <w:lang w:val="en-US" w:eastAsia="zh-CN"/>
        </w:rPr>
      </w:pPr>
      <w:r>
        <w:rPr>
          <w:rFonts w:hint="eastAsia" w:ascii="宋体" w:hAnsi="宋体" w:cs="宋体"/>
          <w:sz w:val="24"/>
          <w:szCs w:val="24"/>
          <w:lang w:val="en-US" w:eastAsia="zh-CN"/>
        </w:rPr>
        <w:t>四、</w:t>
      </w:r>
      <w:r>
        <w:rPr>
          <w:rFonts w:hint="default" w:ascii="宋体" w:hAnsi="宋体" w:eastAsia="宋体" w:cs="宋体"/>
          <w:sz w:val="24"/>
          <w:szCs w:val="24"/>
          <w:lang w:val="en-US" w:eastAsia="zh-CN"/>
        </w:rPr>
        <w:t>动物模型的</w:t>
      </w:r>
      <w:r>
        <w:rPr>
          <w:rFonts w:hint="default" w:ascii="宋体" w:hAnsi="宋体" w:eastAsia="宋体" w:cs="宋体"/>
          <w:sz w:val="24"/>
          <w:szCs w:val="24"/>
          <w:lang w:val="en-US" w:eastAsia="zh-CN"/>
        </w:rPr>
        <w:t>评价</w:t>
      </w:r>
      <w:r>
        <w:rPr>
          <w:rFonts w:hint="default" w:ascii="宋体" w:hAnsi="宋体" w:eastAsia="宋体" w:cs="宋体"/>
          <w:sz w:val="24"/>
          <w:szCs w:val="24"/>
          <w:lang w:val="en-US" w:eastAsia="zh-CN"/>
        </w:rPr>
        <w:t>与验证</w:t>
      </w:r>
    </w:p>
    <w:p>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4.1 模型指标评价体系</w:t>
      </w:r>
    </w:p>
    <w:p>
      <w:pPr>
        <w:numPr>
          <w:ilvl w:val="0"/>
          <w:numId w:val="0"/>
        </w:numPr>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依据我国国家卫生健康委员会颁布的《罕见病诊疗指南（2019年版）》中白化病的诊断标准</w:t>
      </w:r>
      <w:r>
        <w:rPr>
          <w:rFonts w:hint="eastAsia" w:ascii="宋体" w:hAnsi="宋体" w:eastAsia="宋体" w:cs="宋体"/>
          <w:sz w:val="24"/>
          <w:szCs w:val="24"/>
          <w:vertAlign w:val="superscript"/>
          <w:lang w:val="en-US" w:eastAsia="zh-CN"/>
        </w:rPr>
        <w:t>[17]</w:t>
      </w:r>
      <w:r>
        <w:rPr>
          <w:rFonts w:hint="eastAsia" w:ascii="宋体" w:hAnsi="宋体" w:eastAsia="宋体" w:cs="宋体"/>
          <w:sz w:val="24"/>
          <w:szCs w:val="24"/>
          <w:lang w:val="en-US" w:eastAsia="zh-CN"/>
        </w:rPr>
        <w:t>，我们将模型制备成功的评价指标总结如下：</w:t>
      </w:r>
    </w:p>
    <w:p>
      <w:pPr>
        <w:numPr>
          <w:ilvl w:val="0"/>
          <w:numId w:val="3"/>
        </w:numPr>
        <w:spacing w:line="360" w:lineRule="auto"/>
        <w:ind w:firstLine="480" w:firstLineChars="200"/>
        <w:rPr>
          <w:rFonts w:hint="eastAsia" w:ascii="宋体" w:hAnsi="宋体" w:eastAsia="宋体" w:cs="宋体"/>
          <w:lang w:eastAsia="zh-CN"/>
        </w:rPr>
      </w:pPr>
      <w:r>
        <w:rPr>
          <w:rFonts w:hint="eastAsia" w:ascii="宋体" w:hAnsi="宋体" w:eastAsia="宋体" w:cs="宋体"/>
          <w:lang w:val="en-US" w:eastAsia="zh-CN"/>
        </w:rPr>
        <w:t>基因诊断：具有</w:t>
      </w:r>
      <w:r>
        <w:rPr>
          <w:rFonts w:hint="eastAsia" w:ascii="宋体" w:hAnsi="宋体" w:eastAsia="宋体" w:cs="宋体"/>
          <w:i/>
          <w:iCs/>
        </w:rPr>
        <w:t>TYR</w:t>
      </w:r>
      <w:r>
        <w:rPr>
          <w:rFonts w:hint="eastAsia" w:ascii="宋体" w:hAnsi="宋体" w:eastAsia="宋体" w:cs="宋体"/>
        </w:rPr>
        <w:t>（tyrosinase 酪氨酸酶）基因突变</w:t>
      </w:r>
      <w:r>
        <w:rPr>
          <w:rFonts w:hint="eastAsia" w:ascii="宋体" w:hAnsi="宋体" w:eastAsia="宋体" w:cs="宋体"/>
          <w:lang w:eastAsia="zh-CN"/>
        </w:rPr>
        <w:t>；</w:t>
      </w:r>
    </w:p>
    <w:p>
      <w:pPr>
        <w:numPr>
          <w:ilvl w:val="0"/>
          <w:numId w:val="3"/>
        </w:numPr>
        <w:spacing w:line="360" w:lineRule="auto"/>
        <w:ind w:firstLine="480" w:firstLineChars="200"/>
        <w:rPr>
          <w:rFonts w:hint="eastAsia" w:ascii="宋体" w:hAnsi="宋体" w:eastAsia="宋体" w:cs="宋体"/>
          <w:lang w:eastAsia="zh-CN"/>
        </w:rPr>
      </w:pPr>
      <w:r>
        <w:rPr>
          <w:rFonts w:hint="eastAsia" w:ascii="宋体" w:hAnsi="宋体" w:eastAsia="宋体" w:cs="宋体"/>
          <w:sz w:val="24"/>
          <w:szCs w:val="24"/>
          <w:lang w:val="en-US" w:eastAsia="zh-CN"/>
        </w:rPr>
        <w:t>临床表现为</w:t>
      </w:r>
      <w:r>
        <w:rPr>
          <w:rFonts w:hint="eastAsia" w:ascii="宋体" w:hAnsi="宋体" w:eastAsia="宋体" w:cs="宋体"/>
        </w:rPr>
        <w:t>泛发性皮肤及毛发色素脱失，眼部色素脱失眼震颤</w:t>
      </w:r>
      <w:r>
        <w:rPr>
          <w:rFonts w:hint="eastAsia" w:ascii="宋体" w:hAnsi="宋体" w:eastAsia="宋体" w:cs="宋体"/>
          <w:lang w:eastAsia="zh-CN"/>
        </w:rPr>
        <w:t>。</w:t>
      </w:r>
    </w:p>
    <w:p>
      <w:pPr>
        <w:numPr>
          <w:ilvl w:val="0"/>
          <w:numId w:val="0"/>
        </w:numPr>
        <w:adjustRightInd w:val="0"/>
        <w:snapToGrid w:val="0"/>
        <w:spacing w:line="360" w:lineRule="auto"/>
        <w:jc w:val="center"/>
        <w:rPr>
          <w:rFonts w:hint="eastAsia" w:ascii="宋体" w:hAnsi="宋体" w:eastAsia="宋体" w:cs="宋体"/>
          <w:lang w:val="en-US" w:eastAsia="zh-CN"/>
        </w:rPr>
      </w:pPr>
      <w:r>
        <w:rPr>
          <w:rFonts w:hint="eastAsia" w:ascii="宋体" w:hAnsi="宋体" w:eastAsia="宋体" w:cs="宋体"/>
          <w:lang w:val="en-US" w:eastAsia="zh-CN"/>
        </w:rPr>
        <w:t>表15 模型评价指标</w:t>
      </w:r>
    </w:p>
    <w:tbl>
      <w:tblPr>
        <w:tblStyle w:val="9"/>
        <w:tblW w:w="8899"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449"/>
        <w:gridCol w:w="5450"/>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3449" w:type="dxa"/>
            <w:tcBorders>
              <w:bottom w:val="single" w:color="auto" w:sz="4" w:space="0"/>
            </w:tcBorders>
            <w:vAlign w:val="center"/>
          </w:tcPr>
          <w:p>
            <w:pPr>
              <w:widowControl/>
              <w:spacing w:line="240" w:lineRule="auto"/>
              <w:jc w:val="both"/>
              <w:rPr>
                <w:rFonts w:hint="eastAsia" w:ascii="宋体" w:hAnsi="宋体" w:eastAsia="宋体" w:cs="宋体"/>
                <w:b w:val="0"/>
                <w:bCs w:val="0"/>
                <w:sz w:val="24"/>
                <w:szCs w:val="24"/>
                <w:vertAlign w:val="baseline"/>
              </w:rPr>
            </w:pPr>
            <w:r>
              <w:rPr>
                <w:rFonts w:hint="eastAsia" w:ascii="宋体" w:hAnsi="宋体" w:eastAsia="宋体" w:cs="宋体"/>
                <w:b w:val="0"/>
                <w:bCs w:val="0"/>
                <w:sz w:val="24"/>
                <w:szCs w:val="24"/>
              </w:rPr>
              <w:t>模型</w:t>
            </w:r>
            <w:r>
              <w:rPr>
                <w:rFonts w:hint="eastAsia" w:ascii="宋体" w:hAnsi="宋体" w:eastAsia="宋体" w:cs="宋体"/>
                <w:b w:val="0"/>
                <w:bCs w:val="0"/>
                <w:sz w:val="24"/>
                <w:szCs w:val="24"/>
                <w:lang w:val="en-US" w:eastAsia="zh-CN"/>
              </w:rPr>
              <w:t>评价</w:t>
            </w:r>
            <w:r>
              <w:rPr>
                <w:rFonts w:hint="eastAsia" w:ascii="宋体" w:hAnsi="宋体" w:eastAsia="宋体" w:cs="宋体"/>
                <w:b w:val="0"/>
                <w:bCs w:val="0"/>
                <w:sz w:val="24"/>
                <w:szCs w:val="24"/>
              </w:rPr>
              <w:t>指标</w:t>
            </w:r>
          </w:p>
        </w:tc>
        <w:tc>
          <w:tcPr>
            <w:tcW w:w="5450" w:type="dxa"/>
            <w:tcBorders>
              <w:bottom w:val="single" w:color="auto" w:sz="4" w:space="0"/>
            </w:tcBorders>
            <w:vAlign w:val="center"/>
          </w:tcPr>
          <w:p>
            <w:pPr>
              <w:widowControl/>
              <w:spacing w:line="240" w:lineRule="auto"/>
              <w:jc w:val="both"/>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检测方法</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3449" w:type="dxa"/>
            <w:vAlign w:val="center"/>
          </w:tcPr>
          <w:p>
            <w:pPr>
              <w:widowControl/>
              <w:spacing w:line="240" w:lineRule="auto"/>
              <w:jc w:val="both"/>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基因诊断</w:t>
            </w:r>
          </w:p>
        </w:tc>
        <w:tc>
          <w:tcPr>
            <w:tcW w:w="5450" w:type="dxa"/>
            <w:vAlign w:val="center"/>
          </w:tcPr>
          <w:p>
            <w:pPr>
              <w:widowControl/>
              <w:spacing w:line="240" w:lineRule="auto"/>
              <w:jc w:val="both"/>
              <w:rPr>
                <w:rFonts w:hint="eastAsia" w:ascii="宋体" w:hAnsi="宋体" w:eastAsia="宋体" w:cs="宋体"/>
                <w:sz w:val="24"/>
                <w:szCs w:val="24"/>
                <w:vertAlign w:val="baseline"/>
              </w:rPr>
            </w:pPr>
            <w:r>
              <w:rPr>
                <w:rFonts w:hint="eastAsia" w:ascii="宋体" w:hAnsi="宋体" w:eastAsia="宋体" w:cs="宋体"/>
              </w:rPr>
              <w:t>DNA桑格测序（DNA sanger sequence）</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3449" w:type="dxa"/>
            <w:vAlign w:val="center"/>
          </w:tcPr>
          <w:p>
            <w:pPr>
              <w:widowControl/>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外观表型分析</w:t>
            </w:r>
          </w:p>
        </w:tc>
        <w:tc>
          <w:tcPr>
            <w:tcW w:w="5450" w:type="dxa"/>
            <w:vAlign w:val="center"/>
          </w:tcPr>
          <w:p>
            <w:pPr>
              <w:widowControl/>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lang w:val="en-US" w:eastAsia="zh-CN"/>
              </w:rPr>
              <w:t>肉眼观察有无全身皮肤及毛发色素减退</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1" w:hRule="atLeast"/>
        </w:trPr>
        <w:tc>
          <w:tcPr>
            <w:tcW w:w="3449" w:type="dxa"/>
            <w:vAlign w:val="center"/>
          </w:tcPr>
          <w:p>
            <w:pPr>
              <w:widowControl/>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rPr>
              <w:t>泛发性皮肤及毛发色素脱失</w:t>
            </w:r>
          </w:p>
        </w:tc>
        <w:tc>
          <w:tcPr>
            <w:tcW w:w="5450" w:type="dxa"/>
            <w:vAlign w:val="center"/>
          </w:tcPr>
          <w:p>
            <w:pPr>
              <w:widowControl/>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皮肤组织</w:t>
            </w:r>
            <w:r>
              <w:rPr>
                <w:rFonts w:hint="eastAsia" w:ascii="宋体" w:hAnsi="宋体" w:eastAsia="宋体" w:cs="宋体"/>
                <w:kern w:val="0"/>
                <w:sz w:val="24"/>
                <w:szCs w:val="24"/>
                <w:lang w:val="en-US" w:eastAsia="zh-CN" w:bidi="ar-SA"/>
              </w:rPr>
              <w:t>银氨核固红染色</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1" w:hRule="atLeast"/>
        </w:trPr>
        <w:tc>
          <w:tcPr>
            <w:tcW w:w="3449" w:type="dxa"/>
            <w:vAlign w:val="center"/>
          </w:tcPr>
          <w:p>
            <w:pPr>
              <w:widowControl/>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rPr>
              <w:t>眼部色素脱失</w:t>
            </w:r>
          </w:p>
        </w:tc>
        <w:tc>
          <w:tcPr>
            <w:tcW w:w="5450" w:type="dxa"/>
            <w:vAlign w:val="center"/>
          </w:tcPr>
          <w:p>
            <w:pPr>
              <w:widowControl/>
              <w:spacing w:line="240" w:lineRule="auto"/>
              <w:jc w:val="both"/>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虹膜</w:t>
            </w:r>
            <w:r>
              <w:rPr>
                <w:rFonts w:hint="eastAsia" w:ascii="宋体" w:hAnsi="宋体" w:eastAsia="宋体" w:cs="宋体"/>
                <w:kern w:val="0"/>
                <w:sz w:val="24"/>
                <w:szCs w:val="24"/>
                <w:lang w:val="en-US" w:eastAsia="zh-CN" w:bidi="ar-SA"/>
              </w:rPr>
              <w:t>银氨核固红染色</w:t>
            </w:r>
          </w:p>
        </w:tc>
      </w:tr>
    </w:tbl>
    <w:p>
      <w:pPr>
        <w:numPr>
          <w:ilvl w:val="-1"/>
          <w:numId w:val="0"/>
        </w:numPr>
        <w:spacing w:line="360" w:lineRule="auto"/>
        <w:ind w:firstLine="0" w:firstLineChars="0"/>
        <w:rPr>
          <w:rFonts w:hint="eastAsia" w:ascii="宋体" w:hAnsi="宋体" w:eastAsia="宋体" w:cs="宋体"/>
          <w:lang w:eastAsia="zh-CN"/>
        </w:rPr>
      </w:pPr>
    </w:p>
    <w:p>
      <w:pPr>
        <w:numPr>
          <w:ilvl w:val="-1"/>
          <w:numId w:val="0"/>
        </w:numPr>
        <w:spacing w:line="360" w:lineRule="auto"/>
        <w:ind w:firstLine="0" w:firstLineChars="0"/>
        <w:rPr>
          <w:rFonts w:hint="eastAsia" w:ascii="宋体" w:hAnsi="宋体" w:eastAsia="宋体" w:cs="宋体"/>
          <w:lang w:val="en-US" w:eastAsia="zh-CN"/>
        </w:rPr>
      </w:pPr>
      <w:r>
        <w:rPr>
          <w:rFonts w:hint="eastAsia" w:ascii="宋体" w:hAnsi="宋体" w:eastAsia="宋体" w:cs="宋体"/>
          <w:lang w:val="en-US" w:eastAsia="zh-CN"/>
        </w:rPr>
        <w:t>4.2 模型评价方法</w:t>
      </w:r>
    </w:p>
    <w:p>
      <w:pPr>
        <w:numPr>
          <w:ilvl w:val="0"/>
          <w:numId w:val="4"/>
        </w:numPr>
        <w:spacing w:line="360" w:lineRule="auto"/>
        <w:ind w:left="425" w:hanging="425" w:firstLineChars="0"/>
        <w:rPr>
          <w:rFonts w:hint="eastAsia" w:ascii="宋体" w:hAnsi="宋体" w:eastAsia="宋体" w:cs="宋体"/>
          <w:lang w:val="en-US" w:eastAsia="zh-CN"/>
        </w:rPr>
      </w:pPr>
      <w:r>
        <w:rPr>
          <w:rFonts w:hint="eastAsia" w:ascii="宋体" w:hAnsi="宋体" w:eastAsia="宋体" w:cs="宋体"/>
          <w:lang w:val="en-US" w:eastAsia="zh-CN"/>
        </w:rPr>
        <w:t>基因诊断</w:t>
      </w:r>
    </w:p>
    <w:p>
      <w:pPr>
        <w:numPr>
          <w:ilvl w:val="0"/>
          <w:numId w:val="0"/>
        </w:numPr>
        <w:adjustRightInd/>
        <w:snapToGrid/>
        <w:spacing w:line="360" w:lineRule="auto"/>
        <w:ind w:firstLine="480" w:firstLineChars="200"/>
        <w:rPr>
          <w:rFonts w:hint="default" w:ascii="宋体" w:hAnsi="宋体" w:eastAsia="宋体" w:cs="宋体"/>
          <w:sz w:val="24"/>
          <w:szCs w:val="24"/>
          <w:lang w:val="en-US" w:eastAsia="zh-CN"/>
        </w:rPr>
      </w:pPr>
      <w:r>
        <w:rPr>
          <w:rFonts w:hint="eastAsia" w:ascii="宋体" w:hAnsi="宋体" w:eastAsia="宋体" w:cs="宋体"/>
          <w:lang w:val="en-US" w:eastAsia="zh-CN"/>
        </w:rPr>
        <w:t>取</w:t>
      </w:r>
      <w:r>
        <w:rPr>
          <w:rFonts w:hint="default" w:ascii="宋体" w:hAnsi="宋体" w:eastAsia="宋体" w:cs="宋体"/>
        </w:rPr>
        <w:t>猪耳朵皮肤组织</w:t>
      </w:r>
      <w:r>
        <w:rPr>
          <w:rFonts w:hint="eastAsia" w:ascii="宋体" w:hAnsi="宋体" w:eastAsia="宋体" w:cs="宋体"/>
          <w:lang w:val="en-US" w:eastAsia="zh-CN"/>
        </w:rPr>
        <w:t>或</w:t>
      </w:r>
      <w:r>
        <w:rPr>
          <w:rFonts w:hint="default" w:ascii="宋体" w:hAnsi="宋体" w:eastAsia="宋体" w:cs="宋体"/>
        </w:rPr>
        <w:t>性成熟的公猪</w:t>
      </w:r>
      <w:r>
        <w:rPr>
          <w:rFonts w:hint="eastAsia" w:ascii="宋体" w:hAnsi="宋体" w:eastAsia="宋体" w:cs="宋体"/>
          <w:lang w:val="en-US" w:eastAsia="zh-CN"/>
        </w:rPr>
        <w:t>的精液</w:t>
      </w:r>
      <w:r>
        <w:rPr>
          <w:rFonts w:hint="default" w:ascii="宋体" w:hAnsi="宋体" w:eastAsia="宋体" w:cs="宋体"/>
        </w:rPr>
        <w:t>提取DNA</w:t>
      </w:r>
      <w:r>
        <w:rPr>
          <w:rFonts w:hint="eastAsia" w:ascii="宋体" w:hAnsi="宋体" w:eastAsia="宋体" w:cs="宋体"/>
          <w:lang w:eastAsia="zh-CN"/>
        </w:rPr>
        <w:t>。</w:t>
      </w:r>
      <w:r>
        <w:rPr>
          <w:rFonts w:hint="eastAsia" w:ascii="宋体" w:hAnsi="宋体" w:eastAsia="宋体" w:cs="宋体"/>
          <w:lang w:val="en-US" w:eastAsia="zh-CN"/>
        </w:rPr>
        <w:t>使用</w:t>
      </w:r>
      <w:r>
        <w:rPr>
          <w:rFonts w:hint="eastAsia" w:ascii="宋体" w:hAnsi="宋体" w:eastAsia="宋体" w:cs="宋体"/>
          <w:i/>
          <w:caps/>
          <w:smallCaps w:val="0"/>
          <w:sz w:val="24"/>
          <w:szCs w:val="24"/>
          <w:lang w:val="en-US" w:eastAsia="zh-CN"/>
        </w:rPr>
        <w:t>TYR</w:t>
      </w:r>
      <w:r>
        <w:rPr>
          <w:rFonts w:hint="eastAsia" w:ascii="宋体" w:hAnsi="宋体" w:eastAsia="宋体" w:cs="宋体"/>
          <w:i w:val="0"/>
          <w:iCs/>
          <w:caps/>
          <w:smallCaps w:val="0"/>
          <w:sz w:val="24"/>
          <w:szCs w:val="24"/>
          <w:lang w:val="en-US" w:eastAsia="zh-CN"/>
        </w:rPr>
        <w:t>的</w:t>
      </w:r>
      <w:r>
        <w:rPr>
          <w:rFonts w:hint="eastAsia" w:ascii="宋体" w:hAnsi="宋体" w:eastAsia="宋体" w:cs="宋体"/>
          <w:lang w:val="en-US" w:eastAsia="zh-CN"/>
        </w:rPr>
        <w:t>PCR引物对基因组DNA进行扩增后进行DNA测序，对测序结果</w:t>
      </w:r>
      <w:r>
        <w:rPr>
          <w:rFonts w:hint="eastAsia" w:ascii="宋体" w:hAnsi="宋体" w:eastAsia="宋体" w:cs="宋体"/>
          <w:i w:val="0"/>
          <w:iCs/>
          <w:caps/>
          <w:smallCaps w:val="0"/>
          <w:sz w:val="24"/>
          <w:szCs w:val="24"/>
          <w:vertAlign w:val="baseline"/>
          <w:lang w:val="en-US" w:eastAsia="zh-CN"/>
        </w:rPr>
        <w:t>进行</w:t>
      </w:r>
      <w:r>
        <w:rPr>
          <w:rFonts w:hint="default" w:ascii="宋体" w:hAnsi="宋体" w:eastAsia="宋体" w:cs="宋体"/>
        </w:rPr>
        <w:t>基因型</w:t>
      </w:r>
      <w:r>
        <w:rPr>
          <w:rFonts w:hint="eastAsia" w:ascii="宋体" w:hAnsi="宋体" w:eastAsia="宋体" w:cs="宋体"/>
          <w:lang w:val="en-US" w:eastAsia="zh-CN"/>
        </w:rPr>
        <w:t>分析及</w:t>
      </w:r>
      <w:r>
        <w:rPr>
          <w:rFonts w:hint="default" w:ascii="宋体" w:hAnsi="宋体" w:eastAsia="宋体" w:cs="宋体"/>
        </w:rPr>
        <w:t>鉴定</w:t>
      </w:r>
      <w:r>
        <w:rPr>
          <w:rFonts w:hint="eastAsia" w:ascii="宋体" w:hAnsi="宋体" w:eastAsia="宋体" w:cs="宋体"/>
          <w:lang w:val="en-US" w:eastAsia="zh-CN"/>
        </w:rPr>
        <w:t>。</w:t>
      </w:r>
    </w:p>
    <w:p>
      <w:pPr>
        <w:adjustRightInd w:val="0"/>
        <w:snapToGrid w:val="0"/>
        <w:spacing w:line="360" w:lineRule="auto"/>
        <w:jc w:val="center"/>
        <w:rPr>
          <w:rFonts w:hint="eastAsia" w:ascii="宋体" w:hAnsi="宋体" w:eastAsia="宋体" w:cs="宋体"/>
          <w:sz w:val="24"/>
          <w:szCs w:val="24"/>
        </w:rPr>
      </w:pPr>
      <w:r>
        <w:rPr>
          <w:rFonts w:hint="eastAsia" w:ascii="宋体" w:hAnsi="宋体" w:eastAsia="宋体" w:cs="宋体"/>
          <w:sz w:val="24"/>
          <w:szCs w:val="24"/>
          <w:lang w:eastAsia="zh-CN"/>
        </w:rPr>
        <w:t>表16</w:t>
      </w:r>
      <w:r>
        <w:rPr>
          <w:rFonts w:hint="eastAsia" w:ascii="宋体" w:hAnsi="宋体" w:eastAsia="宋体" w:cs="宋体"/>
          <w:sz w:val="24"/>
          <w:szCs w:val="24"/>
        </w:rPr>
        <w:t xml:space="preserve">  </w:t>
      </w:r>
      <w:r>
        <w:rPr>
          <w:rFonts w:hint="eastAsia" w:ascii="宋体" w:hAnsi="宋体" w:eastAsia="宋体" w:cs="宋体"/>
          <w:sz w:val="24"/>
          <w:szCs w:val="24"/>
          <w:lang w:val="en-US" w:eastAsia="zh-CN"/>
        </w:rPr>
        <w:t>PCR</w:t>
      </w:r>
      <w:r>
        <w:rPr>
          <w:rFonts w:hint="eastAsia" w:ascii="宋体" w:hAnsi="宋体" w:eastAsia="宋体" w:cs="宋体"/>
          <w:sz w:val="24"/>
          <w:szCs w:val="24"/>
        </w:rPr>
        <w:t>引物</w:t>
      </w:r>
    </w:p>
    <w:tbl>
      <w:tblPr>
        <w:tblStyle w:val="9"/>
        <w:tblW w:w="4998"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958"/>
        <w:gridCol w:w="3402"/>
        <w:gridCol w:w="349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06" w:type="pct"/>
            <w:tcBorders>
              <w:bottom w:val="single" w:color="auto" w:sz="4" w:space="0"/>
            </w:tcBorders>
            <w:vAlign w:val="center"/>
          </w:tcPr>
          <w:p>
            <w:pPr>
              <w:jc w:val="center"/>
              <w:rPr>
                <w:rFonts w:hint="eastAsia" w:ascii="宋体" w:hAnsi="宋体" w:eastAsia="宋体" w:cs="宋体"/>
                <w:color w:val="000000"/>
                <w:sz w:val="24"/>
                <w:szCs w:val="24"/>
                <w:lang w:val="en-GB"/>
              </w:rPr>
            </w:pPr>
            <w:r>
              <w:rPr>
                <w:rFonts w:hint="eastAsia" w:ascii="宋体" w:hAnsi="宋体" w:eastAsia="宋体" w:cs="宋体"/>
                <w:color w:val="000000"/>
                <w:sz w:val="24"/>
                <w:szCs w:val="24"/>
              </w:rPr>
              <w:t>目的基因位点</w:t>
            </w:r>
          </w:p>
        </w:tc>
        <w:tc>
          <w:tcPr>
            <w:tcW w:w="1921"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引物名称</w:t>
            </w:r>
          </w:p>
        </w:tc>
        <w:tc>
          <w:tcPr>
            <w:tcW w:w="1972" w:type="pct"/>
            <w:tcBorders>
              <w:bottom w:val="single" w:color="auto" w:sz="4" w:space="0"/>
            </w:tcBorders>
            <w:vAlign w:val="center"/>
          </w:tcPr>
          <w:p>
            <w:pPr>
              <w:jc w:val="center"/>
              <w:rPr>
                <w:rFonts w:hint="eastAsia" w:ascii="宋体" w:hAnsi="宋体" w:eastAsia="宋体" w:cs="宋体"/>
                <w:color w:val="000000"/>
                <w:sz w:val="24"/>
                <w:szCs w:val="24"/>
                <w:lang w:val="en-GB"/>
              </w:rPr>
            </w:pPr>
            <w:r>
              <w:rPr>
                <w:rFonts w:hint="eastAsia" w:ascii="宋体" w:hAnsi="宋体" w:eastAsia="宋体" w:cs="宋体"/>
                <w:color w:val="000000"/>
                <w:sz w:val="24"/>
                <w:szCs w:val="24"/>
              </w:rPr>
              <w:t>序列（ 5’→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06" w:type="pct"/>
            <w:vMerge w:val="restart"/>
            <w:tcBorders>
              <w:top w:val="single" w:color="auto" w:sz="4" w:space="0"/>
            </w:tcBorders>
            <w:vAlign w:val="center"/>
          </w:tcPr>
          <w:p>
            <w:pPr>
              <w:jc w:val="center"/>
              <w:rPr>
                <w:rFonts w:hint="eastAsia" w:ascii="宋体" w:hAnsi="宋体" w:eastAsia="宋体" w:cs="宋体"/>
                <w:color w:val="000000"/>
                <w:sz w:val="24"/>
                <w:szCs w:val="24"/>
                <w:lang w:val="en-GB"/>
              </w:rPr>
            </w:pPr>
            <w:r>
              <w:rPr>
                <w:rFonts w:hint="eastAsia" w:ascii="宋体" w:hAnsi="宋体" w:eastAsia="宋体" w:cs="宋体"/>
                <w:color w:val="000000"/>
                <w:sz w:val="24"/>
                <w:szCs w:val="24"/>
                <w:lang w:val="en-GB"/>
              </w:rPr>
              <w:t>TYR-exon1</w:t>
            </w:r>
          </w:p>
        </w:tc>
        <w:tc>
          <w:tcPr>
            <w:tcW w:w="1921" w:type="pct"/>
            <w:tcBorders>
              <w:top w:val="single" w:color="auto" w:sz="4" w:space="0"/>
            </w:tcBorders>
            <w:vAlign w:val="center"/>
          </w:tcPr>
          <w:p>
            <w:pPr>
              <w:jc w:val="center"/>
              <w:rPr>
                <w:rFonts w:hint="eastAsia" w:ascii="宋体" w:hAnsi="宋体" w:eastAsia="宋体" w:cs="宋体"/>
                <w:color w:val="000000"/>
                <w:sz w:val="24"/>
                <w:szCs w:val="24"/>
                <w:lang w:val="en-GB"/>
              </w:rPr>
            </w:pPr>
            <w:r>
              <w:rPr>
                <w:rFonts w:hint="eastAsia" w:ascii="宋体" w:hAnsi="宋体" w:eastAsia="宋体" w:cs="宋体"/>
                <w:color w:val="000000"/>
                <w:sz w:val="24"/>
                <w:szCs w:val="24"/>
                <w:lang w:val="en-GB"/>
              </w:rPr>
              <w:t>TYR-TA-clone-Forward</w:t>
            </w:r>
          </w:p>
        </w:tc>
        <w:tc>
          <w:tcPr>
            <w:tcW w:w="1972" w:type="pct"/>
            <w:tcBorders>
              <w:top w:val="single" w:color="auto" w:sz="4" w:space="0"/>
            </w:tcBorders>
            <w:vAlign w:val="center"/>
          </w:tcPr>
          <w:p>
            <w:pPr>
              <w:jc w:val="center"/>
              <w:rPr>
                <w:rFonts w:hint="eastAsia" w:ascii="宋体" w:hAnsi="宋体" w:eastAsia="宋体" w:cs="宋体"/>
                <w:color w:val="000000"/>
                <w:sz w:val="24"/>
                <w:szCs w:val="24"/>
                <w:lang w:val="en-GB"/>
              </w:rPr>
            </w:pPr>
            <w:r>
              <w:rPr>
                <w:rFonts w:hint="eastAsia" w:ascii="宋体" w:hAnsi="宋体" w:eastAsia="宋体" w:cs="宋体"/>
                <w:color w:val="000000"/>
                <w:sz w:val="24"/>
                <w:szCs w:val="24"/>
                <w:lang w:val="en-GB"/>
              </w:rPr>
              <w:t>GTACTGCCTGCTCTGGACTTT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106" w:type="pct"/>
            <w:vMerge w:val="continue"/>
            <w:vAlign w:val="center"/>
          </w:tcPr>
          <w:p>
            <w:pPr>
              <w:jc w:val="center"/>
              <w:rPr>
                <w:rFonts w:hint="eastAsia" w:ascii="宋体" w:hAnsi="宋体" w:eastAsia="宋体" w:cs="宋体"/>
                <w:color w:val="000000"/>
                <w:sz w:val="24"/>
                <w:szCs w:val="24"/>
                <w:lang w:val="en-GB"/>
              </w:rPr>
            </w:pPr>
          </w:p>
        </w:tc>
        <w:tc>
          <w:tcPr>
            <w:tcW w:w="1921" w:type="pct"/>
            <w:vAlign w:val="center"/>
          </w:tcPr>
          <w:p>
            <w:pPr>
              <w:jc w:val="center"/>
              <w:rPr>
                <w:rFonts w:hint="eastAsia" w:ascii="宋体" w:hAnsi="宋体" w:eastAsia="宋体" w:cs="宋体"/>
                <w:color w:val="000000"/>
                <w:sz w:val="24"/>
                <w:szCs w:val="24"/>
                <w:lang w:val="en-GB"/>
              </w:rPr>
            </w:pPr>
            <w:r>
              <w:rPr>
                <w:rFonts w:hint="eastAsia" w:ascii="宋体" w:hAnsi="宋体" w:eastAsia="宋体" w:cs="宋体"/>
                <w:color w:val="000000"/>
                <w:sz w:val="24"/>
                <w:szCs w:val="24"/>
                <w:lang w:val="en-GB"/>
              </w:rPr>
              <w:t>TYR-TA-clone-Reverse</w:t>
            </w:r>
          </w:p>
        </w:tc>
        <w:tc>
          <w:tcPr>
            <w:tcW w:w="1972" w:type="pct"/>
            <w:vAlign w:val="center"/>
          </w:tcPr>
          <w:p>
            <w:pPr>
              <w:jc w:val="center"/>
              <w:rPr>
                <w:rFonts w:hint="eastAsia" w:ascii="宋体" w:hAnsi="宋体" w:eastAsia="宋体" w:cs="宋体"/>
                <w:color w:val="000000"/>
                <w:sz w:val="24"/>
                <w:szCs w:val="24"/>
                <w:lang w:val="en-GB"/>
              </w:rPr>
            </w:pPr>
            <w:r>
              <w:rPr>
                <w:rFonts w:hint="eastAsia" w:ascii="宋体" w:hAnsi="宋体" w:eastAsia="宋体" w:cs="宋体"/>
                <w:color w:val="000000"/>
                <w:sz w:val="24"/>
                <w:szCs w:val="24"/>
                <w:lang w:val="en-GB"/>
              </w:rPr>
              <w:t>GGATGCTGGGCTGAGTAGATT</w:t>
            </w:r>
          </w:p>
        </w:tc>
      </w:tr>
    </w:tbl>
    <w:p>
      <w:pPr>
        <w:tabs>
          <w:tab w:val="left" w:pos="420"/>
        </w:tabs>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表17</w:t>
      </w:r>
      <w:r>
        <w:rPr>
          <w:rFonts w:hint="eastAsia" w:ascii="宋体" w:hAnsi="宋体" w:eastAsia="宋体" w:cs="宋体"/>
          <w:color w:val="000000"/>
          <w:sz w:val="24"/>
          <w:szCs w:val="24"/>
        </w:rPr>
        <w:t xml:space="preserve">  PCR反应体系</w:t>
      </w:r>
    </w:p>
    <w:tbl>
      <w:tblPr>
        <w:tblStyle w:val="9"/>
        <w:tblW w:w="5000"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28"/>
        <w:gridCol w:w="4428"/>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bottom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组分</w:t>
            </w:r>
          </w:p>
        </w:tc>
        <w:tc>
          <w:tcPr>
            <w:tcW w:w="2500" w:type="pct"/>
            <w:tcBorders>
              <w:bottom w:val="single" w:color="auto" w:sz="4" w:space="0"/>
            </w:tcBorders>
            <w:vAlign w:val="center"/>
          </w:tcPr>
          <w:p>
            <w:pPr>
              <w:tabs>
                <w:tab w:val="left" w:pos="420"/>
              </w:tabs>
              <w:jc w:val="center"/>
              <w:rPr>
                <w:rFonts w:hint="eastAsia" w:ascii="宋体" w:hAnsi="宋体" w:eastAsia="宋体" w:cs="宋体"/>
                <w:color w:val="000000"/>
                <w:sz w:val="24"/>
                <w:szCs w:val="24"/>
              </w:rPr>
            </w:pPr>
            <w:r>
              <w:rPr>
                <w:rFonts w:hint="eastAsia" w:ascii="宋体" w:hAnsi="宋体" w:eastAsia="宋体" w:cs="宋体"/>
                <w:color w:val="000000"/>
                <w:sz w:val="24"/>
                <w:szCs w:val="24"/>
              </w:rPr>
              <w:t>体积</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op w:val="single" w:color="auto" w:sz="4" w:space="0"/>
            </w:tcBorders>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2×Mix taq酶</w:t>
            </w:r>
          </w:p>
        </w:tc>
        <w:tc>
          <w:tcPr>
            <w:tcW w:w="2500" w:type="pct"/>
            <w:tcBorders>
              <w:top w:val="single" w:color="auto" w:sz="4" w:space="0"/>
            </w:tcBorders>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15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正向引物（10 μM）</w:t>
            </w:r>
          </w:p>
        </w:tc>
        <w:tc>
          <w:tcPr>
            <w:tcW w:w="2500" w:type="pct"/>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0.5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反向引物（10 μM）</w:t>
            </w:r>
          </w:p>
        </w:tc>
        <w:tc>
          <w:tcPr>
            <w:tcW w:w="2500" w:type="pct"/>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0.5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DNA模板</w:t>
            </w:r>
          </w:p>
        </w:tc>
        <w:tc>
          <w:tcPr>
            <w:tcW w:w="2500" w:type="pct"/>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 μL</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水</w:t>
            </w:r>
          </w:p>
        </w:tc>
        <w:tc>
          <w:tcPr>
            <w:tcW w:w="2500" w:type="pct"/>
            <w:vAlign w:val="center"/>
          </w:tcPr>
          <w:p>
            <w:pPr>
              <w:widowControl/>
              <w:spacing w:before="100" w:beforeAutospacing="1" w:after="100" w:afterAutospacing="1"/>
              <w:jc w:val="center"/>
              <w:rPr>
                <w:rFonts w:hint="eastAsia" w:ascii="宋体" w:hAnsi="宋体" w:eastAsia="宋体" w:cs="宋体"/>
                <w:color w:val="000000"/>
                <w:kern w:val="0"/>
                <w:sz w:val="24"/>
                <w:szCs w:val="24"/>
                <w:lang w:val="en-US" w:eastAsia="zh-CN" w:bidi="ar-SA"/>
              </w:rPr>
            </w:pPr>
            <w:r>
              <w:rPr>
                <w:rFonts w:hint="eastAsia" w:ascii="宋体" w:hAnsi="宋体" w:eastAsia="宋体" w:cs="宋体"/>
                <w:color w:val="000000"/>
                <w:kern w:val="0"/>
                <w:sz w:val="24"/>
                <w:szCs w:val="24"/>
                <w:lang w:val="en-US" w:eastAsia="zh-CN" w:bidi="ar-SA"/>
              </w:rPr>
              <w:t>13 μL</w:t>
            </w:r>
          </w:p>
        </w:tc>
      </w:tr>
    </w:tbl>
    <w:p>
      <w:pPr>
        <w:adjustRightInd w:val="0"/>
        <w:snapToGrid w:val="0"/>
        <w:spacing w:line="360" w:lineRule="auto"/>
        <w:jc w:val="center"/>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表18</w:t>
      </w:r>
      <w:r>
        <w:rPr>
          <w:rFonts w:hint="eastAsia" w:ascii="宋体" w:hAnsi="宋体" w:eastAsia="宋体" w:cs="宋体"/>
          <w:color w:val="000000"/>
          <w:sz w:val="24"/>
          <w:szCs w:val="24"/>
        </w:rPr>
        <w:t xml:space="preserve">  PCR反应条件</w:t>
      </w:r>
    </w:p>
    <w:tbl>
      <w:tblPr>
        <w:tblStyle w:val="9"/>
        <w:tblW w:w="4998" w:type="pct"/>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13"/>
        <w:gridCol w:w="2213"/>
        <w:gridCol w:w="2213"/>
        <w:gridCol w:w="2213"/>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循环数</w:t>
            </w:r>
          </w:p>
        </w:tc>
        <w:tc>
          <w:tcPr>
            <w:tcW w:w="125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变性</w:t>
            </w:r>
          </w:p>
        </w:tc>
        <w:tc>
          <w:tcPr>
            <w:tcW w:w="125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退火</w:t>
            </w:r>
          </w:p>
        </w:tc>
        <w:tc>
          <w:tcPr>
            <w:tcW w:w="1250" w:type="pct"/>
            <w:tcBorders>
              <w:bottom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延伸</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1</w:t>
            </w:r>
          </w:p>
        </w:tc>
        <w:tc>
          <w:tcPr>
            <w:tcW w:w="1250" w:type="pct"/>
            <w:tcBorders>
              <w:top w:val="single" w:color="auto" w:sz="4" w:space="0"/>
            </w:tcBorders>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94℃，5 min</w:t>
            </w:r>
          </w:p>
        </w:tc>
        <w:tc>
          <w:tcPr>
            <w:tcW w:w="1250" w:type="pct"/>
            <w:tcBorders>
              <w:top w:val="single" w:color="auto" w:sz="4" w:space="0"/>
            </w:tcBorders>
            <w:vAlign w:val="center"/>
          </w:tcPr>
          <w:p>
            <w:pPr>
              <w:jc w:val="center"/>
              <w:rPr>
                <w:rFonts w:hint="eastAsia" w:ascii="宋体" w:hAnsi="宋体" w:eastAsia="宋体" w:cs="宋体"/>
                <w:color w:val="000000"/>
                <w:sz w:val="24"/>
                <w:szCs w:val="24"/>
              </w:rPr>
            </w:pPr>
          </w:p>
        </w:tc>
        <w:tc>
          <w:tcPr>
            <w:tcW w:w="1250" w:type="pct"/>
            <w:tcBorders>
              <w:top w:val="single" w:color="auto" w:sz="4" w:space="0"/>
            </w:tcBorders>
            <w:vAlign w:val="center"/>
          </w:tcPr>
          <w:p>
            <w:pPr>
              <w:jc w:val="center"/>
              <w:rPr>
                <w:rFonts w:hint="eastAsia" w:ascii="宋体" w:hAnsi="宋体" w:eastAsia="宋体" w:cs="宋体"/>
                <w:color w:val="000000"/>
                <w:sz w:val="24"/>
                <w:szCs w:val="24"/>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2-36</w:t>
            </w:r>
          </w:p>
        </w:tc>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94℃，30 s</w:t>
            </w:r>
          </w:p>
        </w:tc>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62℃，30 s</w:t>
            </w:r>
          </w:p>
        </w:tc>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72℃，40 s</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37</w:t>
            </w:r>
          </w:p>
        </w:tc>
        <w:tc>
          <w:tcPr>
            <w:tcW w:w="1250" w:type="pct"/>
            <w:vAlign w:val="center"/>
          </w:tcPr>
          <w:p>
            <w:pPr>
              <w:jc w:val="center"/>
              <w:rPr>
                <w:rFonts w:hint="eastAsia" w:ascii="宋体" w:hAnsi="宋体" w:eastAsia="宋体" w:cs="宋体"/>
                <w:color w:val="000000"/>
                <w:sz w:val="24"/>
                <w:szCs w:val="24"/>
              </w:rPr>
            </w:pPr>
          </w:p>
        </w:tc>
        <w:tc>
          <w:tcPr>
            <w:tcW w:w="1250" w:type="pct"/>
            <w:vAlign w:val="center"/>
          </w:tcPr>
          <w:p>
            <w:pPr>
              <w:jc w:val="center"/>
              <w:rPr>
                <w:rFonts w:hint="eastAsia" w:ascii="宋体" w:hAnsi="宋体" w:eastAsia="宋体" w:cs="宋体"/>
                <w:color w:val="000000"/>
                <w:sz w:val="24"/>
                <w:szCs w:val="24"/>
              </w:rPr>
            </w:pPr>
          </w:p>
        </w:tc>
        <w:tc>
          <w:tcPr>
            <w:tcW w:w="1250" w:type="pct"/>
            <w:vAlign w:val="center"/>
          </w:tcPr>
          <w:p>
            <w:pPr>
              <w:jc w:val="center"/>
              <w:rPr>
                <w:rFonts w:hint="eastAsia" w:ascii="宋体" w:hAnsi="宋体" w:eastAsia="宋体" w:cs="宋体"/>
                <w:color w:val="000000"/>
                <w:sz w:val="24"/>
                <w:szCs w:val="24"/>
              </w:rPr>
            </w:pPr>
            <w:r>
              <w:rPr>
                <w:rFonts w:hint="eastAsia" w:ascii="宋体" w:hAnsi="宋体" w:eastAsia="宋体" w:cs="宋体"/>
                <w:color w:val="000000"/>
                <w:sz w:val="24"/>
                <w:szCs w:val="24"/>
              </w:rPr>
              <w:t>72℃，5 min</w:t>
            </w:r>
          </w:p>
        </w:tc>
      </w:tr>
    </w:tbl>
    <w:p>
      <w:pPr>
        <w:widowControl w:val="0"/>
        <w:numPr>
          <w:ilvl w:val="0"/>
          <w:numId w:val="4"/>
        </w:numPr>
        <w:spacing w:beforeAutospacing="1" w:afterAutospacing="1" w:line="360" w:lineRule="auto"/>
        <w:ind w:left="425" w:hanging="425"/>
        <w:jc w:val="left"/>
        <w:outlineLvl w:val="2"/>
        <w:rPr>
          <w:rFonts w:hint="eastAsia" w:ascii="宋体" w:hAnsi="宋体" w:eastAsia="宋体" w:cs="宋体"/>
          <w:kern w:val="0"/>
          <w:sz w:val="24"/>
          <w:szCs w:val="24"/>
          <w:lang w:val="en-US" w:eastAsia="zh-CN" w:bidi="ar-SA"/>
        </w:rPr>
      </w:pPr>
      <w:r>
        <w:rPr>
          <w:rFonts w:hint="eastAsia" w:ascii="宋体" w:hAnsi="宋体" w:eastAsia="宋体" w:cs="宋体"/>
          <w:kern w:val="0"/>
          <w:sz w:val="24"/>
          <w:szCs w:val="24"/>
          <w:lang w:val="en-US" w:eastAsia="zh-CN" w:bidi="ar-SA"/>
        </w:rPr>
        <w:t>银氨核固红染色</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银氨核固红染色目的是检测和观察组织中黑色素有无表达和分布。主要步骤有：</w:t>
      </w:r>
    </w:p>
    <w:p>
      <w:pPr>
        <w:numPr>
          <w:ilvl w:val="0"/>
          <w:numId w:val="5"/>
        </w:numPr>
        <w:spacing w:line="360" w:lineRule="auto"/>
        <w:ind w:left="425" w:hanging="425" w:firstLineChars="0"/>
        <w:rPr>
          <w:rFonts w:hint="eastAsia" w:ascii="宋体" w:hAnsi="宋体" w:eastAsia="宋体" w:cs="宋体"/>
          <w:color w:val="000000"/>
          <w:sz w:val="24"/>
          <w:szCs w:val="24"/>
        </w:rPr>
      </w:pPr>
      <w:r>
        <w:rPr>
          <w:rFonts w:hint="eastAsia" w:ascii="宋体" w:hAnsi="宋体" w:eastAsia="宋体" w:cs="宋体"/>
          <w:bCs/>
          <w:sz w:val="24"/>
          <w:szCs w:val="24"/>
        </w:rPr>
        <w:t>脱蜡：将烤好的</w:t>
      </w:r>
      <w:r>
        <w:rPr>
          <w:rFonts w:hint="eastAsia" w:ascii="宋体" w:hAnsi="宋体" w:eastAsia="宋体" w:cs="宋体"/>
          <w:color w:val="000000"/>
          <w:sz w:val="24"/>
          <w:szCs w:val="24"/>
        </w:rPr>
        <w:t>切片依次在第一缸二甲苯溶液中浸泡5 min，第二缸二甲苯溶液中浸泡5 min，95%乙醇中浸泡3 min，80%乙醇中浸泡3 min，然后蒸馏水中冲洗3 min，浸泡于蒸馏水中备用。</w:t>
      </w:r>
    </w:p>
    <w:p>
      <w:pPr>
        <w:numPr>
          <w:ilvl w:val="0"/>
          <w:numId w:val="5"/>
        </w:numPr>
        <w:spacing w:line="360" w:lineRule="auto"/>
        <w:ind w:left="425" w:hanging="425" w:firstLineChars="0"/>
        <w:rPr>
          <w:rFonts w:hint="eastAsia" w:ascii="宋体" w:hAnsi="宋体" w:eastAsia="宋体" w:cs="宋体"/>
          <w:color w:val="000000"/>
          <w:sz w:val="24"/>
          <w:szCs w:val="24"/>
        </w:rPr>
      </w:pPr>
      <w:r>
        <w:rPr>
          <w:rFonts w:hint="eastAsia" w:ascii="宋体" w:hAnsi="宋体" w:eastAsia="宋体" w:cs="宋体"/>
          <w:sz w:val="24"/>
          <w:szCs w:val="24"/>
        </w:rPr>
        <w:t>将切片置于氢氧化物银氨溶液中，在常温的暗室中放置18 h。</w:t>
      </w:r>
    </w:p>
    <w:p>
      <w:pPr>
        <w:numPr>
          <w:ilvl w:val="0"/>
          <w:numId w:val="5"/>
        </w:numPr>
        <w:spacing w:line="360" w:lineRule="auto"/>
        <w:ind w:left="425" w:hanging="425" w:firstLineChars="0"/>
        <w:rPr>
          <w:rFonts w:hint="eastAsia" w:ascii="宋体" w:hAnsi="宋体" w:eastAsia="宋体" w:cs="宋体"/>
          <w:color w:val="000000"/>
          <w:sz w:val="24"/>
          <w:szCs w:val="24"/>
        </w:rPr>
      </w:pPr>
      <w:r>
        <w:rPr>
          <w:rFonts w:hint="eastAsia" w:ascii="宋体" w:hAnsi="宋体" w:eastAsia="宋体" w:cs="宋体"/>
          <w:sz w:val="24"/>
          <w:szCs w:val="24"/>
        </w:rPr>
        <w:t>随后取出并在蒸馏水中快速清洗切片。</w:t>
      </w:r>
    </w:p>
    <w:p>
      <w:pPr>
        <w:numPr>
          <w:ilvl w:val="0"/>
          <w:numId w:val="5"/>
        </w:numPr>
        <w:spacing w:line="360" w:lineRule="auto"/>
        <w:ind w:left="425" w:hanging="425" w:firstLineChars="0"/>
        <w:rPr>
          <w:rFonts w:hint="eastAsia" w:ascii="宋体" w:hAnsi="宋体" w:eastAsia="宋体" w:cs="宋体"/>
          <w:color w:val="000000"/>
          <w:sz w:val="24"/>
          <w:szCs w:val="24"/>
        </w:rPr>
      </w:pPr>
      <w:r>
        <w:rPr>
          <w:rFonts w:hint="eastAsia" w:ascii="宋体" w:hAnsi="宋体" w:eastAsia="宋体" w:cs="宋体"/>
          <w:color w:val="000000"/>
          <w:sz w:val="24"/>
          <w:szCs w:val="24"/>
        </w:rPr>
        <w:t>置于</w:t>
      </w:r>
      <w:r>
        <w:rPr>
          <w:rFonts w:hint="eastAsia" w:ascii="宋体" w:hAnsi="宋体" w:eastAsia="宋体" w:cs="宋体"/>
          <w:sz w:val="24"/>
          <w:szCs w:val="24"/>
        </w:rPr>
        <w:t>0.2%氯化金溶液染料中浸泡2 min。</w:t>
      </w:r>
    </w:p>
    <w:p>
      <w:pPr>
        <w:numPr>
          <w:ilvl w:val="0"/>
          <w:numId w:val="5"/>
        </w:numPr>
        <w:spacing w:line="360" w:lineRule="auto"/>
        <w:ind w:left="425" w:hanging="425" w:firstLineChars="0"/>
        <w:rPr>
          <w:rFonts w:hint="eastAsia" w:ascii="宋体" w:hAnsi="宋体" w:eastAsia="宋体" w:cs="宋体"/>
          <w:color w:val="000000"/>
          <w:sz w:val="24"/>
          <w:szCs w:val="24"/>
        </w:rPr>
      </w:pPr>
      <w:r>
        <w:rPr>
          <w:rFonts w:hint="eastAsia" w:ascii="宋体" w:hAnsi="宋体" w:eastAsia="宋体" w:cs="宋体"/>
          <w:sz w:val="24"/>
          <w:szCs w:val="24"/>
        </w:rPr>
        <w:t>取出在蒸馏水中快速冲洗。</w:t>
      </w:r>
    </w:p>
    <w:p>
      <w:pPr>
        <w:numPr>
          <w:ilvl w:val="0"/>
          <w:numId w:val="5"/>
        </w:numPr>
        <w:spacing w:line="360" w:lineRule="auto"/>
        <w:ind w:left="425" w:hanging="425" w:firstLineChars="0"/>
        <w:rPr>
          <w:rFonts w:hint="eastAsia" w:ascii="宋体" w:hAnsi="宋体" w:eastAsia="宋体" w:cs="宋体"/>
          <w:color w:val="000000"/>
          <w:sz w:val="24"/>
          <w:szCs w:val="24"/>
        </w:rPr>
      </w:pPr>
      <w:r>
        <w:rPr>
          <w:rFonts w:hint="eastAsia" w:ascii="宋体" w:hAnsi="宋体" w:eastAsia="宋体" w:cs="宋体"/>
          <w:sz w:val="24"/>
          <w:szCs w:val="24"/>
        </w:rPr>
        <w:t>将切片浸泡在5%硫代硫酸钠溶液中3 min。</w:t>
      </w:r>
    </w:p>
    <w:p>
      <w:pPr>
        <w:numPr>
          <w:ilvl w:val="0"/>
          <w:numId w:val="5"/>
        </w:numPr>
        <w:spacing w:line="360" w:lineRule="auto"/>
        <w:ind w:left="425" w:hanging="425" w:firstLineChars="0"/>
        <w:rPr>
          <w:rFonts w:hint="eastAsia" w:ascii="宋体" w:hAnsi="宋体" w:eastAsia="宋体" w:cs="宋体"/>
          <w:color w:val="000000"/>
          <w:sz w:val="24"/>
          <w:szCs w:val="24"/>
        </w:rPr>
      </w:pPr>
      <w:r>
        <w:rPr>
          <w:rFonts w:hint="eastAsia" w:ascii="宋体" w:hAnsi="宋体" w:eastAsia="宋体" w:cs="宋体"/>
          <w:sz w:val="24"/>
          <w:szCs w:val="24"/>
        </w:rPr>
        <w:t>取出切片，用自来水冲洗10 min。</w:t>
      </w:r>
    </w:p>
    <w:p>
      <w:pPr>
        <w:numPr>
          <w:ilvl w:val="0"/>
          <w:numId w:val="5"/>
        </w:numPr>
        <w:spacing w:line="360" w:lineRule="auto"/>
        <w:ind w:left="425" w:hanging="425" w:firstLineChars="0"/>
        <w:rPr>
          <w:rFonts w:hint="eastAsia" w:ascii="宋体" w:hAnsi="宋体" w:eastAsia="宋体" w:cs="宋体"/>
          <w:color w:val="000000"/>
          <w:sz w:val="24"/>
          <w:szCs w:val="24"/>
        </w:rPr>
      </w:pPr>
      <w:r>
        <w:rPr>
          <w:rFonts w:hint="eastAsia" w:ascii="宋体" w:hAnsi="宋体" w:eastAsia="宋体" w:cs="宋体"/>
          <w:sz w:val="24"/>
          <w:szCs w:val="24"/>
        </w:rPr>
        <w:t>置入核固红染液中5 min。</w:t>
      </w:r>
    </w:p>
    <w:p>
      <w:pPr>
        <w:numPr>
          <w:ilvl w:val="0"/>
          <w:numId w:val="5"/>
        </w:numPr>
        <w:spacing w:line="360" w:lineRule="auto"/>
        <w:ind w:left="425" w:hanging="425" w:firstLineChars="0"/>
        <w:rPr>
          <w:rFonts w:hint="eastAsia" w:ascii="宋体" w:hAnsi="宋体" w:eastAsia="宋体" w:cs="宋体"/>
          <w:color w:val="000000"/>
          <w:sz w:val="24"/>
          <w:szCs w:val="24"/>
        </w:rPr>
      </w:pPr>
      <w:r>
        <w:rPr>
          <w:rFonts w:hint="eastAsia" w:ascii="宋体" w:hAnsi="宋体" w:eastAsia="宋体" w:cs="宋体"/>
          <w:sz w:val="24"/>
          <w:szCs w:val="24"/>
        </w:rPr>
        <w:t>自来水冲洗30 s。</w:t>
      </w:r>
    </w:p>
    <w:p>
      <w:pPr>
        <w:numPr>
          <w:ilvl w:val="0"/>
          <w:numId w:val="5"/>
        </w:numPr>
        <w:spacing w:line="360" w:lineRule="auto"/>
        <w:ind w:left="425" w:hanging="425" w:firstLineChars="0"/>
        <w:rPr>
          <w:rFonts w:hint="eastAsia" w:ascii="宋体" w:hAnsi="宋体" w:eastAsia="宋体" w:cs="宋体"/>
          <w:sz w:val="24"/>
          <w:szCs w:val="24"/>
        </w:rPr>
      </w:pPr>
      <w:r>
        <w:rPr>
          <w:rFonts w:hint="eastAsia" w:ascii="宋体" w:hAnsi="宋体" w:eastAsia="宋体" w:cs="宋体"/>
          <w:sz w:val="24"/>
          <w:szCs w:val="24"/>
        </w:rPr>
        <w:t>脱水、透明、封片：将染色好的切片依次放入第一缸95%乙醇中2 min，第二缸95%乙醇中2 min，第一缸无水乙醇中2 min，第二缸无水乙醇中2 min，第一缸二甲苯中2 min，第二缸二甲苯中2 min。最后用中性树脂封片。</w:t>
      </w:r>
    </w:p>
    <w:p>
      <w:pPr>
        <w:numPr>
          <w:ilvl w:val="-1"/>
          <w:numId w:val="0"/>
        </w:numPr>
        <w:spacing w:line="360" w:lineRule="auto"/>
        <w:ind w:left="0" w:firstLine="0" w:firstLineChars="0"/>
        <w:rPr>
          <w:rFonts w:hint="eastAsia" w:ascii="宋体" w:hAnsi="宋体" w:eastAsia="宋体" w:cs="宋体"/>
          <w:sz w:val="24"/>
          <w:szCs w:val="24"/>
        </w:rPr>
      </w:pPr>
    </w:p>
    <w:p>
      <w:pPr>
        <w:numPr>
          <w:ilvl w:val="-1"/>
          <w:numId w:val="0"/>
        </w:numPr>
        <w:spacing w:line="360" w:lineRule="auto"/>
        <w:ind w:left="0" w:firstLine="0" w:firstLineChars="0"/>
        <w:rPr>
          <w:rFonts w:hint="default" w:ascii="宋体" w:hAnsi="宋体" w:eastAsia="宋体" w:cs="宋体"/>
          <w:lang w:val="en-US" w:eastAsia="zh-CN"/>
        </w:rPr>
      </w:pPr>
      <w:r>
        <w:rPr>
          <w:rFonts w:hint="eastAsia" w:ascii="宋体" w:hAnsi="宋体" w:eastAsia="宋体" w:cs="宋体"/>
          <w:lang w:val="en-US" w:eastAsia="zh-CN"/>
        </w:rPr>
        <w:t>4.3 模型验证</w:t>
      </w:r>
    </w:p>
    <w:p>
      <w:pPr>
        <w:numPr>
          <w:ilvl w:val="0"/>
          <w:numId w:val="6"/>
        </w:numPr>
        <w:spacing w:line="360" w:lineRule="auto"/>
        <w:ind w:left="425" w:hanging="425" w:firstLineChars="0"/>
        <w:rPr>
          <w:rFonts w:hint="eastAsia" w:ascii="宋体" w:hAnsi="宋体" w:eastAsia="宋体" w:cs="宋体"/>
        </w:rPr>
      </w:pPr>
      <w:r>
        <w:rPr>
          <w:rFonts w:hint="eastAsia" w:ascii="宋体" w:hAnsi="宋体" w:eastAsia="宋体" w:cs="宋体"/>
        </w:rPr>
        <w:t>F0代</w:t>
      </w:r>
      <w:r>
        <w:rPr>
          <w:rFonts w:hint="eastAsia" w:ascii="宋体" w:hAnsi="宋体" w:eastAsia="宋体" w:cs="宋体"/>
          <w:i/>
          <w:iCs/>
        </w:rPr>
        <w:t>TYR</w:t>
      </w:r>
      <w:r>
        <w:rPr>
          <w:rFonts w:hint="eastAsia" w:ascii="宋体" w:hAnsi="宋体" w:eastAsia="宋体" w:cs="宋体"/>
          <w:i/>
          <w:iCs/>
          <w:vertAlign w:val="superscript"/>
          <w:lang w:val="en-US" w:eastAsia="zh-CN"/>
        </w:rPr>
        <w:t>-/-</w:t>
      </w:r>
      <w:r>
        <w:rPr>
          <w:rFonts w:hint="eastAsia" w:ascii="宋体" w:hAnsi="宋体" w:eastAsia="宋体" w:cs="宋体"/>
        </w:rPr>
        <w:t>猪基因型分析</w:t>
      </w:r>
    </w:p>
    <w:p>
      <w:pPr>
        <w:numPr>
          <w:ilvl w:val="0"/>
          <w:numId w:val="0"/>
        </w:numPr>
        <w:adjustRightInd/>
        <w:snapToGrid/>
        <w:spacing w:line="360" w:lineRule="auto"/>
        <w:ind w:firstLine="480" w:firstLineChars="200"/>
        <w:jc w:val="left"/>
        <w:rPr>
          <w:rFonts w:hint="default" w:ascii="Times New Roman" w:hAnsi="Times New Roman" w:cs="Times New Roman"/>
          <w:sz w:val="21"/>
          <w:szCs w:val="21"/>
        </w:rPr>
      </w:pPr>
      <w:r>
        <w:rPr>
          <w:rFonts w:hint="eastAsia" w:ascii="宋体" w:hAnsi="宋体" w:eastAsia="宋体" w:cs="宋体"/>
          <w:lang w:val="en-US" w:eastAsia="zh-CN"/>
        </w:rPr>
        <w:t>对</w:t>
      </w:r>
      <w:r>
        <w:rPr>
          <w:rFonts w:hint="eastAsia" w:ascii="宋体" w:hAnsi="宋体" w:eastAsia="宋体" w:cs="宋体"/>
        </w:rPr>
        <w:t>F0代仔猪</w:t>
      </w:r>
      <w:r>
        <w:rPr>
          <w:rFonts w:hint="eastAsia" w:ascii="宋体" w:hAnsi="宋体" w:eastAsia="宋体" w:cs="宋体"/>
          <w:lang w:val="en-US" w:eastAsia="zh-CN"/>
        </w:rPr>
        <w:t>进行基因型检测，结果</w:t>
      </w:r>
      <w:r>
        <w:rPr>
          <w:rFonts w:hint="eastAsia" w:ascii="宋体" w:hAnsi="宋体" w:eastAsia="宋体" w:cs="宋体"/>
        </w:rPr>
        <w:t>表明大多数目的基因位点都存在有不同长度的碱基删除、插入或碱基替换（表20）。</w:t>
      </w:r>
    </w:p>
    <w:p>
      <w:pPr>
        <w:adjustRightInd w:val="0"/>
        <w:snapToGrid w:val="0"/>
        <w:spacing w:line="360" w:lineRule="auto"/>
        <w:jc w:val="center"/>
        <w:rPr>
          <w:rFonts w:ascii="Times New Roman" w:hAnsi="Times New Roman" w:cs="Times New Roman"/>
          <w:sz w:val="21"/>
          <w:szCs w:val="21"/>
        </w:rPr>
      </w:pPr>
      <w:r>
        <w:rPr>
          <w:rFonts w:hint="eastAsia" w:ascii="Times New Roman" w:hAnsi="Times New Roman" w:cs="Times New Roman"/>
          <w:sz w:val="21"/>
          <w:szCs w:val="21"/>
          <w:lang w:eastAsia="zh-CN"/>
        </w:rPr>
        <w:t>表20</w:t>
      </w:r>
      <w:r>
        <w:rPr>
          <w:rFonts w:hint="default" w:ascii="Times New Roman" w:hAnsi="Times New Roman" w:cs="Times New Roman"/>
          <w:sz w:val="21"/>
          <w:szCs w:val="21"/>
        </w:rPr>
        <w:t xml:space="preserve">  F</w:t>
      </w:r>
      <w:r>
        <w:rPr>
          <w:rFonts w:hint="default" w:ascii="Times New Roman" w:hAnsi="Times New Roman" w:cs="Times New Roman"/>
          <w:sz w:val="21"/>
          <w:szCs w:val="21"/>
          <w:vertAlign w:val="subscript"/>
        </w:rPr>
        <w:t>0</w:t>
      </w:r>
      <w:r>
        <w:rPr>
          <w:rFonts w:hint="default" w:ascii="Times New Roman" w:hAnsi="Times New Roman" w:cs="Times New Roman"/>
          <w:sz w:val="21"/>
          <w:szCs w:val="21"/>
        </w:rPr>
        <w:t>代仔猪的</w:t>
      </w:r>
      <w:r>
        <w:rPr>
          <w:rFonts w:hint="default" w:ascii="Times New Roman" w:hAnsi="Times New Roman" w:cs="Times New Roman"/>
          <w:i/>
          <w:iCs/>
          <w:sz w:val="21"/>
          <w:szCs w:val="21"/>
        </w:rPr>
        <w:t>TYR</w:t>
      </w:r>
      <w:r>
        <w:rPr>
          <w:rFonts w:hint="default" w:ascii="Times New Roman" w:hAnsi="Times New Roman" w:cs="Times New Roman"/>
          <w:sz w:val="21"/>
          <w:szCs w:val="21"/>
        </w:rPr>
        <w:t>基因型</w:t>
      </w:r>
    </w:p>
    <w:tbl>
      <w:tblPr>
        <w:tblStyle w:val="9"/>
        <w:tblW w:w="4998" w:type="pct"/>
        <w:jc w:val="center"/>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61"/>
        <w:gridCol w:w="639"/>
        <w:gridCol w:w="5660"/>
        <w:gridCol w:w="1692"/>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tcBorders>
              <w:bottom w:val="single" w:color="auto" w:sz="4" w:space="0"/>
            </w:tcBorders>
            <w:vAlign w:val="center"/>
          </w:tcPr>
          <w:p>
            <w:pPr>
              <w:adjustRightInd w:val="0"/>
              <w:snapToGrid w:val="0"/>
              <w:spacing w:line="264" w:lineRule="auto"/>
              <w:jc w:val="center"/>
              <w:rPr>
                <w:rFonts w:ascii="Times New Roman" w:hAnsi="Times New Roman" w:cs="Times New Roman"/>
                <w:bCs/>
                <w:sz w:val="15"/>
                <w:szCs w:val="15"/>
              </w:rPr>
            </w:pPr>
            <w:r>
              <w:rPr>
                <w:rFonts w:hint="eastAsia" w:ascii="Times New Roman" w:hAnsi="Times New Roman" w:cs="Times New Roman"/>
                <w:bCs/>
                <w:sz w:val="15"/>
                <w:szCs w:val="15"/>
              </w:rPr>
              <w:t>仔猪编号</w:t>
            </w:r>
          </w:p>
        </w:tc>
        <w:tc>
          <w:tcPr>
            <w:tcW w:w="361" w:type="pct"/>
            <w:tcBorders>
              <w:bottom w:val="single" w:color="auto" w:sz="4" w:space="0"/>
            </w:tcBorders>
            <w:vAlign w:val="center"/>
          </w:tcPr>
          <w:p>
            <w:pPr>
              <w:adjustRightInd w:val="0"/>
              <w:snapToGrid w:val="0"/>
              <w:spacing w:line="264" w:lineRule="auto"/>
              <w:jc w:val="center"/>
              <w:rPr>
                <w:rFonts w:ascii="Times New Roman" w:hAnsi="Times New Roman" w:cs="Times New Roman"/>
                <w:bCs/>
                <w:sz w:val="15"/>
                <w:szCs w:val="15"/>
                <w:lang w:val="en-GB"/>
              </w:rPr>
            </w:pPr>
            <w:r>
              <w:rPr>
                <w:rFonts w:hint="eastAsia" w:ascii="Times New Roman" w:hAnsi="Times New Roman" w:cs="Times New Roman"/>
                <w:bCs/>
                <w:sz w:val="15"/>
                <w:szCs w:val="15"/>
              </w:rPr>
              <w:t>性别</w:t>
            </w:r>
          </w:p>
        </w:tc>
        <w:tc>
          <w:tcPr>
            <w:tcW w:w="3195" w:type="pct"/>
            <w:tcBorders>
              <w:bottom w:val="single" w:color="auto" w:sz="4" w:space="0"/>
            </w:tcBorders>
            <w:vAlign w:val="center"/>
          </w:tcPr>
          <w:p>
            <w:pPr>
              <w:adjustRightInd w:val="0"/>
              <w:snapToGrid w:val="0"/>
              <w:spacing w:line="264" w:lineRule="auto"/>
              <w:jc w:val="center"/>
              <w:rPr>
                <w:rFonts w:ascii="Times New Roman" w:hAnsi="Times New Roman" w:cs="Times New Roman"/>
                <w:bCs/>
                <w:sz w:val="15"/>
                <w:szCs w:val="15"/>
              </w:rPr>
            </w:pPr>
            <w:r>
              <w:rPr>
                <w:rFonts w:hint="eastAsia" w:ascii="Times New Roman" w:hAnsi="Times New Roman" w:cs="Times New Roman"/>
                <w:bCs/>
                <w:sz w:val="15"/>
                <w:szCs w:val="15"/>
              </w:rPr>
              <w:t>基因型</w:t>
            </w:r>
          </w:p>
        </w:tc>
        <w:tc>
          <w:tcPr>
            <w:tcW w:w="955" w:type="pct"/>
            <w:tcBorders>
              <w:bottom w:val="single" w:color="auto" w:sz="4" w:space="0"/>
            </w:tcBorders>
            <w:vAlign w:val="center"/>
          </w:tcPr>
          <w:p>
            <w:pPr>
              <w:adjustRightInd w:val="0"/>
              <w:snapToGrid w:val="0"/>
              <w:spacing w:line="264" w:lineRule="auto"/>
              <w:ind w:firstLine="300" w:firstLineChars="200"/>
              <w:rPr>
                <w:rFonts w:ascii="Times New Roman" w:hAnsi="Times New Roman" w:cs="Times New Roman"/>
                <w:bCs/>
                <w:sz w:val="15"/>
                <w:szCs w:val="15"/>
                <w:lang w:val="en-GB"/>
              </w:rPr>
            </w:pPr>
            <w:r>
              <w:rPr>
                <w:rFonts w:hint="eastAsia" w:ascii="Times New Roman" w:hAnsi="Times New Roman" w:cs="Times New Roman"/>
                <w:bCs/>
                <w:sz w:val="15"/>
                <w:szCs w:val="15"/>
              </w:rPr>
              <w:t>突变</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tcBorders>
              <w:top w:val="single" w:color="auto" w:sz="4" w:space="0"/>
            </w:tcBorders>
            <w:vAlign w:val="center"/>
          </w:tcPr>
          <w:p>
            <w:pPr>
              <w:adjustRightInd w:val="0"/>
              <w:snapToGrid w:val="0"/>
              <w:spacing w:line="264" w:lineRule="auto"/>
              <w:rPr>
                <w:rFonts w:ascii="Times New Roman" w:hAnsi="Times New Roman" w:cs="Times New Roman"/>
                <w:sz w:val="15"/>
                <w:szCs w:val="15"/>
                <w:lang w:val="en-GB"/>
              </w:rPr>
            </w:pPr>
          </w:p>
          <w:p>
            <w:pPr>
              <w:adjustRightInd w:val="0"/>
              <w:snapToGrid w:val="0"/>
              <w:spacing w:line="264" w:lineRule="auto"/>
              <w:rPr>
                <w:rFonts w:ascii="Times New Roman" w:hAnsi="Times New Roman" w:cs="Times New Roman"/>
                <w:sz w:val="15"/>
                <w:szCs w:val="15"/>
                <w:lang w:val="en-GB"/>
              </w:rPr>
            </w:pPr>
          </w:p>
        </w:tc>
        <w:tc>
          <w:tcPr>
            <w:tcW w:w="361" w:type="pct"/>
            <w:tcBorders>
              <w:top w:val="single" w:color="auto" w:sz="4" w:space="0"/>
            </w:tcBorders>
            <w:vAlign w:val="center"/>
          </w:tcPr>
          <w:p>
            <w:pPr>
              <w:adjustRightInd w:val="0"/>
              <w:snapToGrid w:val="0"/>
              <w:spacing w:line="264" w:lineRule="auto"/>
              <w:jc w:val="center"/>
              <w:rPr>
                <w:rFonts w:ascii="Times New Roman" w:hAnsi="Times New Roman" w:cs="Times New Roman"/>
                <w:sz w:val="15"/>
                <w:szCs w:val="15"/>
                <w:lang w:val="en-GB"/>
              </w:rPr>
            </w:pPr>
          </w:p>
        </w:tc>
        <w:tc>
          <w:tcPr>
            <w:tcW w:w="3195" w:type="pct"/>
            <w:tcBorders>
              <w:top w:val="single" w:color="auto" w:sz="4" w:space="0"/>
            </w:tcBorders>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w:t>
            </w:r>
            <w:r>
              <w:rPr>
                <w:rFonts w:ascii="Times New Roman" w:hAnsi="Times New Roman" w:cs="Times New Roman"/>
                <w:sz w:val="13"/>
                <w:szCs w:val="13"/>
                <w:u w:val="thick"/>
                <w:lang w:val="en-GB"/>
              </w:rPr>
              <w:t>TCACCGGGGTGGATGAACGG</w:t>
            </w:r>
            <w:r>
              <w:rPr>
                <w:rFonts w:ascii="Times New Roman" w:hAnsi="Times New Roman" w:cs="Times New Roman"/>
                <w:sz w:val="13"/>
                <w:szCs w:val="13"/>
                <w:lang w:val="en-GB"/>
              </w:rPr>
              <w:t>GAG//TGC</w:t>
            </w:r>
            <w:r>
              <w:rPr>
                <w:rFonts w:ascii="Times New Roman" w:hAnsi="Times New Roman" w:cs="Times New Roman"/>
                <w:sz w:val="13"/>
                <w:szCs w:val="13"/>
                <w:u w:val="thick"/>
                <w:lang w:val="en-GB"/>
              </w:rPr>
              <w:t>CAGTGCTTTGGCAACTTCAT</w:t>
            </w:r>
            <w:r>
              <w:rPr>
                <w:rFonts w:ascii="Times New Roman" w:hAnsi="Times New Roman" w:cs="Times New Roman"/>
                <w:sz w:val="13"/>
                <w:szCs w:val="13"/>
                <w:lang w:val="en-GB"/>
              </w:rPr>
              <w:t>GGG</w:t>
            </w:r>
          </w:p>
        </w:tc>
        <w:tc>
          <w:tcPr>
            <w:tcW w:w="955" w:type="pct"/>
            <w:tcBorders>
              <w:top w:val="single" w:color="auto" w:sz="4" w:space="0"/>
            </w:tcBorders>
            <w:vAlign w:val="center"/>
          </w:tcPr>
          <w:p>
            <w:pPr>
              <w:adjustRightInd w:val="0"/>
              <w:snapToGrid w:val="0"/>
              <w:spacing w:line="264" w:lineRule="auto"/>
              <w:jc w:val="left"/>
              <w:rPr>
                <w:rFonts w:ascii="Times New Roman" w:hAnsi="Times New Roman" w:cs="Times New Roman"/>
                <w:sz w:val="15"/>
                <w:szCs w:val="15"/>
              </w:rPr>
            </w:pPr>
            <w:r>
              <w:rPr>
                <w:rFonts w:hint="eastAsia" w:ascii="Times New Roman" w:hAnsi="Times New Roman" w:cs="Times New Roman"/>
                <w:sz w:val="15"/>
                <w:szCs w:val="15"/>
              </w:rPr>
              <w:t>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a1</w:t>
            </w:r>
          </w:p>
        </w:tc>
        <w:tc>
          <w:tcPr>
            <w:tcW w:w="361"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lang w:val="en-GB"/>
              </w:rPr>
              <w:t>公</w:t>
            </w:r>
          </w:p>
        </w:tc>
        <w:tc>
          <w:tcPr>
            <w:tcW w:w="3195" w:type="pct"/>
            <w:shd w:val="clear" w:color="auto" w:fill="DBEEF3"/>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GTTCCCCTTCACCGGGGTGGATGAACGGGAG//TGCCAGTGCTTTGGCAACTTCATGGG</w:t>
            </w:r>
          </w:p>
        </w:tc>
        <w:tc>
          <w:tcPr>
            <w:tcW w:w="955" w:type="pct"/>
            <w:shd w:val="clear" w:color="auto" w:fill="DBEEF3"/>
            <w:vAlign w:val="center"/>
          </w:tcPr>
          <w:p>
            <w:pPr>
              <w:adjustRightInd w:val="0"/>
              <w:snapToGrid w:val="0"/>
              <w:spacing w:line="264" w:lineRule="auto"/>
              <w:jc w:val="left"/>
              <w:rPr>
                <w:rFonts w:ascii="Times New Roman" w:hAnsi="Times New Roman" w:cs="Times New Roman"/>
                <w:sz w:val="15"/>
                <w:szCs w:val="15"/>
              </w:rPr>
            </w:pPr>
            <w:r>
              <w:rPr>
                <w:rFonts w:ascii="Times New Roman" w:hAnsi="Times New Roman" w:cs="Times New Roman"/>
                <w:sz w:val="15"/>
                <w:szCs w:val="15"/>
                <w:lang w:val="en-GB"/>
              </w:rPr>
              <w:t>allele 1:</w:t>
            </w:r>
            <w:r>
              <w:rPr>
                <w:rFonts w:hint="eastAsia" w:ascii="Times New Roman" w:hAnsi="Times New Roman" w:cs="Times New Roman"/>
                <w:sz w:val="15"/>
                <w:szCs w:val="15"/>
              </w:rPr>
              <w:t xml:space="preserve"> WT</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a2</w:t>
            </w:r>
          </w:p>
        </w:tc>
        <w:tc>
          <w:tcPr>
            <w:tcW w:w="361" w:type="pct"/>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lang w:val="en-GB"/>
              </w:rPr>
              <w:t>公</w:t>
            </w:r>
          </w:p>
        </w:tc>
        <w:tc>
          <w:tcPr>
            <w:tcW w:w="3195" w:type="pct"/>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w:t>
            </w:r>
            <w:r>
              <w:rPr>
                <w:rFonts w:hint="eastAsia" w:ascii="Times New Roman" w:hAnsi="Times New Roman" w:cs="Times New Roman"/>
                <w:sz w:val="13"/>
                <w:szCs w:val="13"/>
                <w:lang w:val="en-GB"/>
              </w:rPr>
              <w:t>---</w:t>
            </w:r>
            <w:r>
              <w:rPr>
                <w:rFonts w:ascii="Times New Roman" w:hAnsi="Times New Roman" w:cs="Times New Roman"/>
                <w:sz w:val="13"/>
                <w:szCs w:val="13"/>
                <w:lang w:val="en-GB"/>
              </w:rPr>
              <w:t>--TCGACTC</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w:t>
            </w:r>
            <w:r>
              <w:rPr>
                <w:rFonts w:ascii="Times New Roman" w:hAnsi="Times New Roman" w:cs="Times New Roman"/>
                <w:sz w:val="13"/>
                <w:szCs w:val="13"/>
                <w:highlight w:val="yellow"/>
                <w:lang w:val="en-GB"/>
              </w:rPr>
              <w:t>G</w:t>
            </w:r>
            <w:r>
              <w:rPr>
                <w:rFonts w:ascii="Times New Roman" w:hAnsi="Times New Roman" w:cs="Times New Roman"/>
                <w:sz w:val="13"/>
                <w:szCs w:val="13"/>
                <w:lang w:val="en-GB"/>
              </w:rPr>
              <w:t>GTGCTTTGGCA-</w:t>
            </w:r>
            <w:r>
              <w:rPr>
                <w:rFonts w:hint="eastAsia" w:ascii="Times New Roman" w:hAnsi="Times New Roman" w:cs="Times New Roman"/>
                <w:sz w:val="13"/>
                <w:szCs w:val="13"/>
                <w:lang w:val="en-GB"/>
              </w:rPr>
              <w:t>---</w:t>
            </w:r>
            <w:r>
              <w:rPr>
                <w:rFonts w:ascii="Times New Roman" w:hAnsi="Times New Roman" w:cs="Times New Roman"/>
                <w:sz w:val="13"/>
                <w:szCs w:val="13"/>
                <w:lang w:val="en-GB"/>
              </w:rPr>
              <w:t>--CCTTGGC</w:t>
            </w:r>
          </w:p>
        </w:tc>
        <w:tc>
          <w:tcPr>
            <w:tcW w:w="955" w:type="pct"/>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△352</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A→G</w:t>
            </w:r>
            <w:r>
              <w:rPr>
                <w:rFonts w:hint="eastAsia" w:ascii="Times New Roman" w:hAnsi="Times New Roman" w:cs="Times New Roman"/>
                <w:sz w:val="15"/>
                <w:szCs w:val="15"/>
                <w:lang w:val="en-GB"/>
              </w:rPr>
              <w:t>,</w:t>
            </w:r>
            <w:r>
              <w:rPr>
                <w:rFonts w:ascii="Times New Roman" w:hAnsi="Times New Roman" w:cs="Times New Roman"/>
                <w:sz w:val="15"/>
                <w:szCs w:val="15"/>
                <w:lang w:val="en-GB"/>
              </w:rPr>
              <w:t>△352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a3</w:t>
            </w:r>
          </w:p>
        </w:tc>
        <w:tc>
          <w:tcPr>
            <w:tcW w:w="361"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rPr>
              <w:t>母</w:t>
            </w:r>
          </w:p>
        </w:tc>
        <w:tc>
          <w:tcPr>
            <w:tcW w:w="3195" w:type="pct"/>
            <w:shd w:val="clear" w:color="auto" w:fill="DBEEF3"/>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w:t>
            </w:r>
            <w:r>
              <w:rPr>
                <w:rFonts w:ascii="Times New Roman" w:hAnsi="Times New Roman" w:cs="Times New Roman"/>
                <w:color w:val="FF0000"/>
                <w:sz w:val="13"/>
                <w:szCs w:val="13"/>
                <w:lang w:val="en-GB"/>
              </w:rPr>
              <w:t>A</w:t>
            </w:r>
            <w:r>
              <w:rPr>
                <w:rFonts w:ascii="Times New Roman" w:hAnsi="Times New Roman" w:cs="Times New Roman"/>
                <w:sz w:val="13"/>
                <w:szCs w:val="13"/>
                <w:lang w:val="en-GB"/>
              </w:rPr>
              <w:t>ACCGGGGTGGATGAACGGGAG//TGCCAGTGCTT</w:t>
            </w:r>
            <w:r>
              <w:rPr>
                <w:rFonts w:hint="eastAsia" w:ascii="Times New Roman" w:hAnsi="Times New Roman" w:cs="Times New Roman"/>
                <w:sz w:val="13"/>
                <w:szCs w:val="13"/>
                <w:lang w:val="en-GB"/>
              </w:rPr>
              <w:t>--------------------</w:t>
            </w:r>
            <w:r>
              <w:rPr>
                <w:rFonts w:ascii="Times New Roman" w:hAnsi="Times New Roman" w:cs="Times New Roman"/>
                <w:sz w:val="13"/>
                <w:szCs w:val="13"/>
                <w:lang w:val="en-GB"/>
              </w:rPr>
              <w:t>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--TCCCC------</w:t>
            </w:r>
            <w:r>
              <w:rPr>
                <w:rFonts w:hint="eastAsia" w:ascii="Times New Roman" w:hAnsi="Times New Roman" w:cs="Times New Roman"/>
                <w:sz w:val="13"/>
                <w:szCs w:val="13"/>
                <w:lang w:val="en-GB"/>
              </w:rPr>
              <w:t>-----------</w:t>
            </w:r>
            <w:r>
              <w:rPr>
                <w:rFonts w:ascii="Times New Roman" w:hAnsi="Times New Roman" w:cs="Times New Roman"/>
                <w:sz w:val="13"/>
                <w:szCs w:val="13"/>
                <w:lang w:val="en-GB"/>
              </w:rPr>
              <w:t>GGGGTGGATGAACGGGAG//TGCCAGTGCTTTGGCAA--</w:t>
            </w:r>
            <w:r>
              <w:rPr>
                <w:rFonts w:hint="eastAsia" w:ascii="Times New Roman" w:hAnsi="Times New Roman" w:cs="Times New Roman"/>
                <w:sz w:val="13"/>
                <w:szCs w:val="13"/>
                <w:lang w:val="en-GB"/>
              </w:rPr>
              <w:t>---</w:t>
            </w:r>
            <w:r>
              <w:rPr>
                <w:rFonts w:ascii="Times New Roman" w:hAnsi="Times New Roman" w:cs="Times New Roman"/>
                <w:sz w:val="13"/>
                <w:szCs w:val="13"/>
                <w:lang w:val="en-GB"/>
              </w:rPr>
              <w: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w:t>
            </w:r>
            <w:r>
              <w:rPr>
                <w:rFonts w:hint="eastAsia" w:ascii="Times New Roman" w:hAnsi="Times New Roman" w:cs="Times New Roman"/>
                <w:sz w:val="13"/>
                <w:szCs w:val="13"/>
                <w:lang w:val="en-GB"/>
              </w:rPr>
              <w:t>------------------------------------------------</w:t>
            </w:r>
            <w:r>
              <w:rPr>
                <w:rFonts w:ascii="Times New Roman" w:hAnsi="Times New Roman" w:cs="Times New Roman"/>
                <w:sz w:val="13"/>
                <w:szCs w:val="13"/>
                <w:lang w:val="en-GB"/>
              </w:rPr>
              <w:t>--CATGGG</w:t>
            </w:r>
          </w:p>
        </w:tc>
        <w:tc>
          <w:tcPr>
            <w:tcW w:w="955" w:type="pct"/>
            <w:shd w:val="clear" w:color="auto" w:fill="DBEEF3"/>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+1, △11</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△14</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3: △70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6" w:type="pct"/>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a4</w:t>
            </w:r>
          </w:p>
        </w:tc>
        <w:tc>
          <w:tcPr>
            <w:tcW w:w="361" w:type="pct"/>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rPr>
              <w:t>母</w:t>
            </w:r>
          </w:p>
        </w:tc>
        <w:tc>
          <w:tcPr>
            <w:tcW w:w="3195" w:type="pct"/>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GTTCCCCTTC--CGGGGTGGATGAACGGGAG//TGCCAGTGCTTTGGCAA</w:t>
            </w:r>
            <w:r>
              <w:rPr>
                <w:rFonts w:hint="eastAsia" w:ascii="Times New Roman" w:hAnsi="Times New Roman" w:cs="Times New Roman"/>
                <w:sz w:val="13"/>
                <w:szCs w:val="13"/>
                <w:lang w:val="en-GB"/>
              </w:rPr>
              <w:t>---------</w:t>
            </w:r>
            <w:r>
              <w:rPr>
                <w:rFonts w:ascii="Times New Roman" w:hAnsi="Times New Roman" w:cs="Times New Roman"/>
                <w:sz w:val="13"/>
                <w:szCs w:val="13"/>
                <w:lang w:val="en-GB"/>
              </w:rPr>
              <w:t>A</w:t>
            </w:r>
            <w:r>
              <w:rPr>
                <w:rFonts w:hint="eastAsia" w:ascii="Times New Roman" w:hAnsi="Times New Roman" w:cs="Times New Roman"/>
                <w:sz w:val="13"/>
                <w:szCs w:val="13"/>
                <w:lang w:val="en-GB"/>
              </w:rPr>
              <w:t>-</w:t>
            </w:r>
            <w:r>
              <w:rPr>
                <w:rFonts w:ascii="Times New Roman" w:hAnsi="Times New Roman" w:cs="Times New Roman"/>
                <w:sz w:val="13"/>
                <w:szCs w:val="13"/>
                <w:lang w:val="en-GB"/>
              </w:rPr>
              <w: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w:t>
            </w:r>
            <w:r>
              <w:rPr>
                <w:rFonts w:hint="eastAsia" w:ascii="Times New Roman" w:hAnsi="Times New Roman" w:cs="Times New Roman"/>
                <w:sz w:val="13"/>
                <w:szCs w:val="13"/>
                <w:lang w:val="en-GB"/>
              </w:rPr>
              <w:t>-------------------------------------------</w:t>
            </w:r>
            <w:r>
              <w:rPr>
                <w:rFonts w:ascii="Times New Roman" w:hAnsi="Times New Roman" w:cs="Times New Roman"/>
                <w:sz w:val="13"/>
                <w:szCs w:val="13"/>
                <w:lang w:val="en-GB"/>
              </w:rPr>
              <w:t>-</w:t>
            </w:r>
            <w:r>
              <w:rPr>
                <w:rFonts w:hint="eastAsia" w:ascii="Times New Roman" w:hAnsi="Times New Roman" w:cs="Times New Roman"/>
                <w:sz w:val="13"/>
                <w:szCs w:val="13"/>
                <w:lang w:val="en-GB"/>
              </w:rPr>
              <w:t>-</w:t>
            </w:r>
            <w:r>
              <w:rPr>
                <w:rFonts w:ascii="Times New Roman" w:hAnsi="Times New Roman" w:cs="Times New Roman"/>
                <w:sz w:val="13"/>
                <w:szCs w:val="13"/>
                <w:lang w:val="en-GB"/>
              </w:rPr>
              <w:t>--</w:t>
            </w:r>
            <w:r>
              <w:rPr>
                <w:rFonts w:hint="eastAsia" w:ascii="Times New Roman" w:hAnsi="Times New Roman" w:cs="Times New Roman"/>
                <w:sz w:val="13"/>
                <w:szCs w:val="13"/>
                <w:lang w:val="en-GB"/>
              </w:rPr>
              <w:t>-</w:t>
            </w:r>
            <w:r>
              <w:rPr>
                <w:rFonts w:ascii="Times New Roman" w:hAnsi="Times New Roman" w:cs="Times New Roman"/>
                <w:sz w:val="13"/>
                <w:szCs w:val="13"/>
                <w:lang w:val="en-GB"/>
              </w:rPr>
              <w:t>----CATGGG</w:t>
            </w:r>
          </w:p>
        </w:tc>
        <w:tc>
          <w:tcPr>
            <w:tcW w:w="955" w:type="pct"/>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△7</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△70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6" w:hRule="atLeast"/>
          <w:jc w:val="center"/>
        </w:trPr>
        <w:tc>
          <w:tcPr>
            <w:tcW w:w="486"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b5</w:t>
            </w:r>
          </w:p>
        </w:tc>
        <w:tc>
          <w:tcPr>
            <w:tcW w:w="361"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rPr>
              <w:t>母</w:t>
            </w:r>
          </w:p>
        </w:tc>
        <w:tc>
          <w:tcPr>
            <w:tcW w:w="3195" w:type="pct"/>
            <w:shd w:val="clear" w:color="auto" w:fill="DBEEF3"/>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GTTCCCCTTCACCGGGGTGGATGAACGGGAG//TGCTTTGGC------</w:t>
            </w:r>
            <w:r>
              <w:rPr>
                <w:rFonts w:hint="eastAsia" w:ascii="Times New Roman" w:hAnsi="Times New Roman" w:cs="Times New Roman"/>
                <w:sz w:val="13"/>
                <w:szCs w:val="13"/>
                <w:lang w:val="en-GB"/>
              </w:rPr>
              <w:t>----------</w:t>
            </w:r>
            <w:r>
              <w:rPr>
                <w:rFonts w:ascii="Times New Roman" w:hAnsi="Times New Roman" w:cs="Times New Roman"/>
                <w:sz w:val="13"/>
                <w:szCs w:val="13"/>
                <w:lang w:val="en-GB"/>
              </w:rPr>
              <w:t>-GACTTTTGG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AGGCACCCC---------------</w:t>
            </w:r>
            <w:r>
              <w:rPr>
                <w:rFonts w:hint="eastAsia" w:ascii="Times New Roman" w:hAnsi="Times New Roman" w:cs="Times New Roman"/>
                <w:sz w:val="13"/>
                <w:szCs w:val="13"/>
                <w:lang w:val="en-GB"/>
              </w:rPr>
              <w:t>---------------------------------------------</w:t>
            </w:r>
            <w:r>
              <w:rPr>
                <w:rFonts w:ascii="Times New Roman" w:hAnsi="Times New Roman" w:cs="Times New Roman"/>
                <w:sz w:val="13"/>
                <w:szCs w:val="13"/>
                <w:lang w:val="en-GB"/>
              </w:rPr>
              <w:t>------------------</w:t>
            </w:r>
            <w:r>
              <w:rPr>
                <w:rFonts w:hint="eastAsia" w:ascii="Times New Roman" w:hAnsi="Times New Roman" w:cs="Times New Roman"/>
                <w:sz w:val="13"/>
                <w:szCs w:val="13"/>
                <w:lang w:val="en-GB"/>
              </w:rPr>
              <w:t>-</w:t>
            </w:r>
            <w:r>
              <w:rPr>
                <w:rFonts w:ascii="Times New Roman" w:hAnsi="Times New Roman" w:cs="Times New Roman"/>
                <w:sz w:val="13"/>
                <w:szCs w:val="13"/>
                <w:lang w:val="en-GB"/>
              </w:rPr>
              <w:t>------------TGGG</w:t>
            </w:r>
          </w:p>
        </w:tc>
        <w:tc>
          <w:tcPr>
            <w:tcW w:w="955" w:type="pct"/>
            <w:shd w:val="clear" w:color="auto" w:fill="DBEEF3"/>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△67</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△93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2" w:hRule="atLeast"/>
          <w:jc w:val="center"/>
        </w:trPr>
        <w:tc>
          <w:tcPr>
            <w:tcW w:w="486" w:type="pct"/>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b6</w:t>
            </w:r>
          </w:p>
        </w:tc>
        <w:tc>
          <w:tcPr>
            <w:tcW w:w="361" w:type="pct"/>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lang w:val="en-GB"/>
              </w:rPr>
              <w:t>公</w:t>
            </w:r>
          </w:p>
        </w:tc>
        <w:tc>
          <w:tcPr>
            <w:tcW w:w="3195" w:type="pct"/>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w:t>
            </w:r>
            <w:r>
              <w:rPr>
                <w:rFonts w:ascii="Times New Roman" w:hAnsi="Times New Roman" w:cs="Times New Roman"/>
                <w:color w:val="FF0000"/>
                <w:sz w:val="13"/>
                <w:szCs w:val="13"/>
                <w:lang w:val="en-GB"/>
              </w:rPr>
              <w:t>GTTCATCTCC</w:t>
            </w:r>
            <w:r>
              <w:rPr>
                <w:rFonts w:ascii="Times New Roman" w:hAnsi="Times New Roman" w:cs="Times New Roman"/>
                <w:sz w:val="13"/>
                <w:szCs w:val="13"/>
                <w:lang w:val="en-GB"/>
              </w:rPr>
              <w:t>CCGGGGTGGA</w:t>
            </w:r>
            <w:r>
              <w:rPr>
                <w:rFonts w:hint="eastAsia" w:ascii="Times New Roman" w:hAnsi="Times New Roman" w:cs="Times New Roman"/>
                <w:sz w:val="13"/>
                <w:szCs w:val="13"/>
                <w:lang w:val="en-GB"/>
              </w:rPr>
              <w:t>T</w:t>
            </w:r>
            <w:r>
              <w:rPr>
                <w:rFonts w:ascii="Times New Roman" w:hAnsi="Times New Roman" w:cs="Times New Roman"/>
                <w:sz w:val="13"/>
                <w:szCs w:val="13"/>
                <w:lang w:val="en-GB"/>
              </w:rPr>
              <w:t>//CAGTGCTTTGGCAACTTC</w:t>
            </w:r>
            <w:r>
              <w:rPr>
                <w:rFonts w:ascii="Times New Roman" w:hAnsi="Times New Roman" w:cs="Times New Roman"/>
                <w:color w:val="FF0000"/>
                <w:sz w:val="13"/>
                <w:szCs w:val="13"/>
                <w:lang w:val="en-GB"/>
              </w:rPr>
              <w:t>TCC</w:t>
            </w:r>
            <w:r>
              <w:rPr>
                <w:rFonts w:ascii="Times New Roman" w:hAnsi="Times New Roman" w:cs="Times New Roman"/>
                <w:sz w:val="13"/>
                <w:szCs w:val="13"/>
                <w:lang w:val="en-GB"/>
              </w:rPr>
              <w:t>ATGGG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w:t>
            </w:r>
            <w:r>
              <w:rPr>
                <w:rFonts w:hint="eastAsia" w:ascii="Times New Roman" w:hAnsi="Times New Roman" w:cs="Times New Roman"/>
                <w:sz w:val="13"/>
                <w:szCs w:val="13"/>
                <w:lang w:val="en-GB"/>
              </w:rPr>
              <w:t>--------------------------------------------</w:t>
            </w:r>
            <w:r>
              <w:rPr>
                <w:rFonts w:ascii="Times New Roman" w:hAnsi="Times New Roman" w:cs="Times New Roman"/>
                <w:sz w:val="13"/>
                <w:szCs w:val="13"/>
                <w:lang w:val="en-GB"/>
              </w:rPr>
              <w:t>-------CTTCATGGG</w:t>
            </w:r>
          </w:p>
        </w:tc>
        <w:tc>
          <w:tcPr>
            <w:tcW w:w="955" w:type="pct"/>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+10, +3</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b7</w:t>
            </w:r>
          </w:p>
        </w:tc>
        <w:tc>
          <w:tcPr>
            <w:tcW w:w="361"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rPr>
              <w:t>母</w:t>
            </w:r>
          </w:p>
        </w:tc>
        <w:tc>
          <w:tcPr>
            <w:tcW w:w="3195" w:type="pct"/>
            <w:shd w:val="clear" w:color="auto" w:fill="DBEEF3"/>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w:t>
            </w:r>
            <w:r>
              <w:rPr>
                <w:rFonts w:ascii="Times New Roman" w:hAnsi="Times New Roman" w:cs="Times New Roman"/>
                <w:color w:val="FF0000"/>
                <w:sz w:val="13"/>
                <w:szCs w:val="13"/>
                <w:lang w:val="en-GB"/>
              </w:rPr>
              <w:t>AT</w:t>
            </w:r>
            <w:r>
              <w:rPr>
                <w:rFonts w:ascii="Times New Roman" w:hAnsi="Times New Roman" w:cs="Times New Roman"/>
                <w:sz w:val="13"/>
                <w:szCs w:val="13"/>
                <w:lang w:val="en-GB"/>
              </w:rPr>
              <w:t>CCC-</w:t>
            </w:r>
            <w:r>
              <w:rPr>
                <w:rFonts w:hint="eastAsia" w:ascii="Times New Roman" w:hAnsi="Times New Roman" w:cs="Times New Roman"/>
                <w:sz w:val="13"/>
                <w:szCs w:val="13"/>
                <w:lang w:val="en-GB"/>
              </w:rPr>
              <w:t>----</w:t>
            </w:r>
            <w:r>
              <w:rPr>
                <w:rFonts w:ascii="Times New Roman" w:hAnsi="Times New Roman" w:cs="Times New Roman"/>
                <w:sz w:val="13"/>
                <w:szCs w:val="13"/>
                <w:lang w:val="en-GB"/>
              </w:rPr>
              <w:t>---CCGGGGTGGATGAACGGG//TGCCAGTGCTTTGGCAAC</w:t>
            </w:r>
            <w:r>
              <w:rPr>
                <w:rFonts w:hint="eastAsia" w:ascii="Times New Roman" w:hAnsi="Times New Roman" w:cs="Times New Roman"/>
                <w:sz w:val="13"/>
                <w:szCs w:val="13"/>
                <w:lang w:val="en-GB"/>
              </w:rPr>
              <w:t>---</w:t>
            </w:r>
            <w:r>
              <w:rPr>
                <w:rFonts w:ascii="Times New Roman" w:hAnsi="Times New Roman" w:cs="Times New Roman"/>
                <w:sz w:val="13"/>
                <w:szCs w:val="13"/>
                <w:lang w:val="en-GB"/>
              </w:rPr>
              <w:t>---ATGGG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w:t>
            </w:r>
            <w:r>
              <w:rPr>
                <w:rFonts w:hint="eastAsia" w:ascii="Times New Roman" w:hAnsi="Times New Roman" w:cs="Times New Roman"/>
                <w:sz w:val="13"/>
                <w:szCs w:val="13"/>
                <w:lang w:val="en-GB"/>
              </w:rPr>
              <w:t>-------</w:t>
            </w:r>
            <w:r>
              <w:rPr>
                <w:rFonts w:ascii="Times New Roman" w:hAnsi="Times New Roman" w:cs="Times New Roman"/>
                <w:sz w:val="13"/>
                <w:szCs w:val="13"/>
                <w:lang w:val="en-GB"/>
              </w:rPr>
              <w:t>----GGGGTGGATGAACGGGAG//TGCCAGTGCTTTGGCAACT-</w:t>
            </w:r>
            <w:r>
              <w:rPr>
                <w:rFonts w:hint="eastAsia" w:ascii="Times New Roman" w:hAnsi="Times New Roman" w:cs="Times New Roman"/>
                <w:sz w:val="13"/>
                <w:szCs w:val="13"/>
                <w:lang w:val="en-GB"/>
              </w:rPr>
              <w:t>-----</w:t>
            </w:r>
            <w:r>
              <w:rPr>
                <w:rFonts w:ascii="Times New Roman" w:hAnsi="Times New Roman" w:cs="Times New Roman"/>
                <w:sz w:val="13"/>
                <w:szCs w:val="13"/>
                <w:lang w:val="en-GB"/>
              </w:rPr>
              <w:t>-TGGG</w:t>
            </w:r>
          </w:p>
        </w:tc>
        <w:tc>
          <w:tcPr>
            <w:tcW w:w="955" w:type="pct"/>
            <w:shd w:val="clear" w:color="auto" w:fill="DBEEF3"/>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+2, △7</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△10</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86" w:type="pct"/>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b8</w:t>
            </w:r>
          </w:p>
        </w:tc>
        <w:tc>
          <w:tcPr>
            <w:tcW w:w="361" w:type="pct"/>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rPr>
              <w:t>母</w:t>
            </w:r>
          </w:p>
        </w:tc>
        <w:tc>
          <w:tcPr>
            <w:tcW w:w="3195" w:type="pct"/>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w:t>
            </w:r>
            <w:r>
              <w:rPr>
                <w:rFonts w:hint="eastAsia" w:ascii="Times New Roman" w:hAnsi="Times New Roman" w:cs="Times New Roman"/>
                <w:sz w:val="13"/>
                <w:szCs w:val="13"/>
                <w:lang w:val="en-GB"/>
              </w:rPr>
              <w:t>----</w:t>
            </w:r>
            <w:r>
              <w:rPr>
                <w:rFonts w:ascii="Times New Roman" w:hAnsi="Times New Roman" w:cs="Times New Roman"/>
                <w:sz w:val="13"/>
                <w:szCs w:val="13"/>
                <w:lang w:val="en-GB"/>
              </w:rPr>
              <w:t>-GGGGTGGATGAACGGGAG//TGCCAGTGCTTTGGCAA</w:t>
            </w:r>
            <w:r>
              <w:rPr>
                <w:rFonts w:hint="eastAsia" w:ascii="Times New Roman" w:hAnsi="Times New Roman" w:cs="Times New Roman"/>
                <w:sz w:val="13"/>
                <w:szCs w:val="13"/>
                <w:lang w:val="en-GB"/>
              </w:rPr>
              <w:t>--</w:t>
            </w:r>
            <w:r>
              <w:rPr>
                <w:rFonts w:ascii="Times New Roman" w:hAnsi="Times New Roman" w:cs="Times New Roman"/>
                <w:sz w:val="13"/>
                <w:szCs w:val="13"/>
                <w:lang w:val="en-GB"/>
              </w:rPr>
              <w:t>-</w:t>
            </w:r>
            <w:r>
              <w:rPr>
                <w:rFonts w:hint="eastAsia" w:ascii="Times New Roman" w:hAnsi="Times New Roman" w:cs="Times New Roman"/>
                <w:sz w:val="13"/>
                <w:szCs w:val="13"/>
                <w:lang w:val="en-GB"/>
              </w:rPr>
              <w:t>--</w:t>
            </w:r>
            <w:r>
              <w:rPr>
                <w:rFonts w:ascii="Times New Roman" w:hAnsi="Times New Roman" w:cs="Times New Roman"/>
                <w:sz w:val="13"/>
                <w:szCs w:val="13"/>
                <w:lang w:val="en-GB"/>
              </w:rPr>
              <w:t>--CATGGG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w:t>
            </w:r>
            <w:r>
              <w:rPr>
                <w:rFonts w:hint="eastAsia" w:ascii="Times New Roman" w:hAnsi="Times New Roman" w:cs="Times New Roman"/>
                <w:sz w:val="13"/>
                <w:szCs w:val="13"/>
                <w:lang w:val="en-GB"/>
              </w:rPr>
              <w:t>----</w:t>
            </w:r>
            <w:r>
              <w:rPr>
                <w:rFonts w:ascii="Times New Roman" w:hAnsi="Times New Roman" w:cs="Times New Roman"/>
                <w:sz w:val="13"/>
                <w:szCs w:val="13"/>
                <w:lang w:val="en-GB"/>
              </w:rPr>
              <w:t>--GGGGTGGATGAACGGGAG//TGCCAGTGCTTTGGCAACTT</w:t>
            </w:r>
            <w:r>
              <w:rPr>
                <w:rFonts w:hint="eastAsia" w:ascii="Times New Roman" w:hAnsi="Times New Roman" w:cs="Times New Roman"/>
                <w:sz w:val="13"/>
                <w:szCs w:val="13"/>
                <w:lang w:val="en-GB"/>
              </w:rPr>
              <w:t>-----</w:t>
            </w:r>
            <w:r>
              <w:rPr>
                <w:rFonts w:ascii="Times New Roman" w:hAnsi="Times New Roman" w:cs="Times New Roman"/>
                <w:sz w:val="13"/>
                <w:szCs w:val="13"/>
                <w:lang w:val="en-GB"/>
              </w:rPr>
              <w: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w:t>
            </w:r>
            <w:r>
              <w:rPr>
                <w:rFonts w:hint="eastAsia" w:ascii="Times New Roman" w:hAnsi="Times New Roman" w:cs="Times New Roman"/>
                <w:sz w:val="13"/>
                <w:szCs w:val="13"/>
                <w:lang w:val="en-GB"/>
              </w:rPr>
              <w:t>-----------------------------</w:t>
            </w:r>
            <w:r>
              <w:rPr>
                <w:rFonts w:ascii="Times New Roman" w:hAnsi="Times New Roman" w:cs="Times New Roman"/>
                <w:sz w:val="13"/>
                <w:szCs w:val="13"/>
                <w:lang w:val="en-GB"/>
              </w:rPr>
              <w:t>-------CATGGG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AGGGGTTCCT---------------------------------</w:t>
            </w:r>
            <w:r>
              <w:rPr>
                <w:rFonts w:hint="eastAsia" w:ascii="Times New Roman" w:hAnsi="Times New Roman" w:cs="Times New Roman"/>
                <w:sz w:val="13"/>
                <w:szCs w:val="13"/>
                <w:lang w:val="en-GB"/>
              </w:rPr>
              <w:t>-----------------------------------------</w:t>
            </w:r>
            <w:r>
              <w:rPr>
                <w:rFonts w:ascii="Times New Roman" w:hAnsi="Times New Roman" w:cs="Times New Roman"/>
                <w:sz w:val="13"/>
                <w:szCs w:val="13"/>
                <w:lang w:val="en-GB"/>
              </w:rPr>
              <w:t>-----</w:t>
            </w:r>
            <w:r>
              <w:rPr>
                <w:rFonts w:hint="eastAsia" w:ascii="Times New Roman" w:hAnsi="Times New Roman" w:cs="Times New Roman"/>
                <w:sz w:val="13"/>
                <w:szCs w:val="13"/>
                <w:lang w:val="en-GB"/>
              </w:rPr>
              <w:t>-</w:t>
            </w:r>
            <w:r>
              <w:rPr>
                <w:rFonts w:ascii="Times New Roman" w:hAnsi="Times New Roman" w:cs="Times New Roman"/>
                <w:sz w:val="13"/>
                <w:szCs w:val="13"/>
                <w:lang w:val="en-GB"/>
              </w:rPr>
              <w:t>-----CATGGG</w:t>
            </w:r>
          </w:p>
        </w:tc>
        <w:tc>
          <w:tcPr>
            <w:tcW w:w="955" w:type="pct"/>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△8</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△8</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3: △58</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4: △115</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c9</w:t>
            </w:r>
          </w:p>
        </w:tc>
        <w:tc>
          <w:tcPr>
            <w:tcW w:w="361"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lang w:val="en-GB"/>
              </w:rPr>
              <w:t>公</w:t>
            </w:r>
          </w:p>
        </w:tc>
        <w:tc>
          <w:tcPr>
            <w:tcW w:w="3195" w:type="pct"/>
            <w:shd w:val="clear" w:color="auto" w:fill="DBEEF3"/>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w:t>
            </w:r>
            <w:r>
              <w:rPr>
                <w:rFonts w:hint="eastAsia" w:ascii="Times New Roman" w:hAnsi="Times New Roman" w:cs="Times New Roman"/>
                <w:sz w:val="13"/>
                <w:szCs w:val="13"/>
                <w:lang w:val="en-GB"/>
              </w:rPr>
              <w:t>---</w:t>
            </w:r>
            <w:r>
              <w:rPr>
                <w:rFonts w:ascii="Times New Roman" w:hAnsi="Times New Roman" w:cs="Times New Roman"/>
                <w:sz w:val="13"/>
                <w:szCs w:val="13"/>
                <w:lang w:val="en-GB"/>
              </w:rPr>
              <w:t>--ATGGG</w:t>
            </w:r>
          </w:p>
        </w:tc>
        <w:tc>
          <w:tcPr>
            <w:tcW w:w="955" w:type="pct"/>
            <w:shd w:val="clear" w:color="auto" w:fill="DBEEF3"/>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c10</w:t>
            </w:r>
          </w:p>
        </w:tc>
        <w:tc>
          <w:tcPr>
            <w:tcW w:w="361" w:type="pct"/>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lang w:val="en-GB"/>
              </w:rPr>
              <w:t>公</w:t>
            </w:r>
          </w:p>
        </w:tc>
        <w:tc>
          <w:tcPr>
            <w:tcW w:w="3195" w:type="pct"/>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GTTCCCCTTCACCGGGGTGGATGAACGGGAG//TGCCAGTGCTTTGGCAACTTCATGGG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GTTCCCCTTCACCGGGGTGGATGAACGGGAG//TGCCAGTGCTTTGGCAACT-</w:t>
            </w:r>
            <w:r>
              <w:rPr>
                <w:rFonts w:hint="eastAsia" w:ascii="Times New Roman" w:hAnsi="Times New Roman" w:cs="Times New Roman"/>
                <w:sz w:val="13"/>
                <w:szCs w:val="13"/>
                <w:lang w:val="en-GB"/>
              </w:rPr>
              <w:t>---</w:t>
            </w:r>
            <w:r>
              <w:rPr>
                <w:rFonts w:ascii="Times New Roman" w:hAnsi="Times New Roman" w:cs="Times New Roman"/>
                <w:sz w:val="13"/>
                <w:szCs w:val="13"/>
                <w:lang w:val="en-GB"/>
              </w:rPr>
              <w:t>--TGGG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w:t>
            </w:r>
            <w:r>
              <w:rPr>
                <w:rFonts w:ascii="Times New Roman" w:hAnsi="Times New Roman" w:cs="Times New Roman"/>
                <w:sz w:val="13"/>
                <w:szCs w:val="13"/>
                <w:highlight w:val="yellow"/>
                <w:lang w:val="en-GB"/>
              </w:rPr>
              <w:t>C</w:t>
            </w:r>
            <w:r>
              <w:rPr>
                <w:rFonts w:ascii="Times New Roman" w:hAnsi="Times New Roman" w:cs="Times New Roman"/>
                <w:sz w:val="13"/>
                <w:szCs w:val="13"/>
                <w:lang w:val="en-GB"/>
              </w:rPr>
              <w:t>GGATGAACGGGAG//TGCCAGTGCTTTGGCAACT---</w:t>
            </w:r>
            <w:r>
              <w:rPr>
                <w:rFonts w:hint="eastAsia" w:ascii="Times New Roman" w:hAnsi="Times New Roman" w:cs="Times New Roman"/>
                <w:sz w:val="13"/>
                <w:szCs w:val="13"/>
                <w:lang w:val="en-GB"/>
              </w:rPr>
              <w:t>---</w:t>
            </w:r>
            <w:r>
              <w:rPr>
                <w:rFonts w:ascii="Times New Roman" w:hAnsi="Times New Roman" w:cs="Times New Roman"/>
                <w:sz w:val="13"/>
                <w:szCs w:val="13"/>
                <w:lang w:val="en-GB"/>
              </w:rPr>
              <w:t>TGGG</w:t>
            </w:r>
          </w:p>
        </w:tc>
        <w:tc>
          <w:tcPr>
            <w:tcW w:w="955" w:type="pct"/>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 xml:space="preserve">allele 1: </w:t>
            </w:r>
            <w:r>
              <w:rPr>
                <w:rFonts w:hint="eastAsia" w:ascii="Times New Roman" w:hAnsi="Times New Roman" w:cs="Times New Roman"/>
                <w:sz w:val="15"/>
                <w:szCs w:val="15"/>
              </w:rPr>
              <w:t>WT</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△3</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3: T→C,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c11</w:t>
            </w:r>
          </w:p>
        </w:tc>
        <w:tc>
          <w:tcPr>
            <w:tcW w:w="361"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lang w:val="en-GB"/>
              </w:rPr>
              <w:t>公</w:t>
            </w:r>
          </w:p>
        </w:tc>
        <w:tc>
          <w:tcPr>
            <w:tcW w:w="3195" w:type="pct"/>
            <w:shd w:val="clear" w:color="auto" w:fill="DBEEF3"/>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GTTCCCCTTCACCGGGGTGGATGAACGGGAG//TGCCAGTGCTTTGGCAACTTCATGGG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GTTCCCCTTCACCGGGGTGGATGAACGGGAG//TGCCAGTGCTTTGGCAACTT</w:t>
            </w:r>
            <w:r>
              <w:rPr>
                <w:rFonts w:ascii="Times New Roman" w:hAnsi="Times New Roman" w:cs="Times New Roman"/>
                <w:sz w:val="13"/>
                <w:szCs w:val="13"/>
                <w:highlight w:val="yellow"/>
                <w:lang w:val="en-GB"/>
              </w:rPr>
              <w:t>T</w:t>
            </w:r>
            <w:r>
              <w:rPr>
                <w:rFonts w:ascii="Times New Roman" w:hAnsi="Times New Roman" w:cs="Times New Roman"/>
                <w:sz w:val="13"/>
                <w:szCs w:val="13"/>
                <w:lang w:val="en-GB"/>
              </w:rPr>
              <w:t>CATGG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w:t>
            </w:r>
            <w:r>
              <w:rPr>
                <w:rFonts w:hint="eastAsia" w:ascii="Times New Roman" w:hAnsi="Times New Roman" w:cs="Times New Roman"/>
                <w:sz w:val="13"/>
                <w:szCs w:val="13"/>
                <w:lang w:val="en-GB"/>
              </w:rPr>
              <w:t>---</w:t>
            </w:r>
            <w:r>
              <w:rPr>
                <w:rFonts w:ascii="Times New Roman" w:hAnsi="Times New Roman" w:cs="Times New Roman"/>
                <w:sz w:val="13"/>
                <w:szCs w:val="13"/>
                <w:lang w:val="en-GB"/>
              </w:rPr>
              <w:t>--ATGGG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w:t>
            </w:r>
            <w:r>
              <w:rPr>
                <w:rFonts w:ascii="Times New Roman" w:hAnsi="Times New Roman" w:cs="Times New Roman"/>
                <w:sz w:val="13"/>
                <w:szCs w:val="13"/>
                <w:highlight w:val="yellow"/>
                <w:lang w:val="en-GB"/>
              </w:rPr>
              <w:t>C</w:t>
            </w:r>
            <w:r>
              <w:rPr>
                <w:rFonts w:ascii="Times New Roman" w:hAnsi="Times New Roman" w:cs="Times New Roman"/>
                <w:sz w:val="13"/>
                <w:szCs w:val="13"/>
                <w:lang w:val="en-GB"/>
              </w:rPr>
              <w:t>TCACCGGGGTGGATGAACGGGAG//TGCCAGTGCTTTGGCAAC-</w:t>
            </w:r>
            <w:r>
              <w:rPr>
                <w:rFonts w:hint="eastAsia" w:ascii="Times New Roman" w:hAnsi="Times New Roman" w:cs="Times New Roman"/>
                <w:sz w:val="13"/>
                <w:szCs w:val="13"/>
                <w:lang w:val="en-GB"/>
              </w:rPr>
              <w:t>---</w:t>
            </w:r>
            <w:r>
              <w:rPr>
                <w:rFonts w:ascii="Times New Roman" w:hAnsi="Times New Roman" w:cs="Times New Roman"/>
                <w:sz w:val="13"/>
                <w:szCs w:val="13"/>
                <w:lang w:val="en-GB"/>
              </w:rPr>
              <w:t>--ATGGG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w:t>
            </w:r>
            <w:r>
              <w:rPr>
                <w:rFonts w:hint="eastAsia" w:ascii="Times New Roman" w:hAnsi="Times New Roman" w:cs="Times New Roman"/>
                <w:sz w:val="13"/>
                <w:szCs w:val="13"/>
                <w:lang w:val="en-GB"/>
              </w:rPr>
              <w:t>--------------------------------------------</w:t>
            </w:r>
            <w:r>
              <w:rPr>
                <w:rFonts w:ascii="Times New Roman" w:hAnsi="Times New Roman" w:cs="Times New Roman"/>
                <w:sz w:val="13"/>
                <w:szCs w:val="13"/>
                <w:lang w:val="en-GB"/>
              </w:rPr>
              <w:t>------------------CTTCATGGG</w:t>
            </w:r>
          </w:p>
        </w:tc>
        <w:tc>
          <w:tcPr>
            <w:tcW w:w="955" w:type="pct"/>
            <w:shd w:val="clear" w:color="auto" w:fill="DBEEF3"/>
            <w:vAlign w:val="center"/>
          </w:tcPr>
          <w:p>
            <w:pPr>
              <w:adjustRightInd w:val="0"/>
              <w:snapToGrid w:val="0"/>
              <w:spacing w:line="264" w:lineRule="auto"/>
              <w:jc w:val="left"/>
              <w:rPr>
                <w:rFonts w:ascii="Times New Roman" w:hAnsi="Times New Roman" w:cs="Times New Roman"/>
                <w:sz w:val="15"/>
                <w:szCs w:val="15"/>
              </w:rPr>
            </w:pPr>
            <w:r>
              <w:rPr>
                <w:rFonts w:ascii="Times New Roman" w:hAnsi="Times New Roman" w:cs="Times New Roman"/>
                <w:sz w:val="15"/>
                <w:szCs w:val="15"/>
                <w:lang w:val="en-GB"/>
              </w:rPr>
              <w:t>allele 1:</w:t>
            </w:r>
            <w:r>
              <w:rPr>
                <w:rFonts w:hint="eastAsia" w:ascii="Times New Roman" w:hAnsi="Times New Roman" w:cs="Times New Roman"/>
                <w:sz w:val="15"/>
                <w:szCs w:val="15"/>
              </w:rPr>
              <w:t xml:space="preserve"> WT</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+1</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3: △3</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4: T→C, △3</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5: △72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c12</w:t>
            </w:r>
          </w:p>
        </w:tc>
        <w:tc>
          <w:tcPr>
            <w:tcW w:w="361" w:type="pct"/>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rPr>
              <w:t>母</w:t>
            </w:r>
          </w:p>
        </w:tc>
        <w:tc>
          <w:tcPr>
            <w:tcW w:w="3195" w:type="pct"/>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GTTCCCCTTCACCGGGGTGGATGAACGGGAG//TGCCAGTGCTTTGGCAACT--</w:t>
            </w:r>
            <w:r>
              <w:rPr>
                <w:rFonts w:hint="eastAsia" w:ascii="Times New Roman" w:hAnsi="Times New Roman" w:cs="Times New Roman"/>
                <w:sz w:val="13"/>
                <w:szCs w:val="13"/>
                <w:lang w:val="en-GB"/>
              </w:rPr>
              <w:t>---</w:t>
            </w:r>
            <w:r>
              <w:rPr>
                <w:rFonts w:ascii="Times New Roman" w:hAnsi="Times New Roman" w:cs="Times New Roman"/>
                <w:sz w:val="13"/>
                <w:szCs w:val="13"/>
                <w:lang w:val="en-GB"/>
              </w:rPr>
              <w:t>-TGGG</w:t>
            </w:r>
          </w:p>
        </w:tc>
        <w:tc>
          <w:tcPr>
            <w:tcW w:w="955" w:type="pct"/>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d13</w:t>
            </w:r>
          </w:p>
        </w:tc>
        <w:tc>
          <w:tcPr>
            <w:tcW w:w="361" w:type="pct"/>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lang w:val="en-GB"/>
              </w:rPr>
              <w:t>公</w:t>
            </w:r>
          </w:p>
        </w:tc>
        <w:tc>
          <w:tcPr>
            <w:tcW w:w="3195" w:type="pct"/>
            <w:shd w:val="clear" w:color="auto" w:fill="DBEEF3"/>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GTTCCCCTTCACCGGGGTGGATGAACGGGAG//TGCCAGTGCTTTGGCAACTTCATGGG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GTTCCCCTTCACCGGGGTGGATGAACGGGAG//TGCCAGTGCTTTGGCAACT</w:t>
            </w:r>
            <w:r>
              <w:rPr>
                <w:rFonts w:hint="eastAsia" w:ascii="Times New Roman" w:hAnsi="Times New Roman" w:cs="Times New Roman"/>
                <w:sz w:val="13"/>
                <w:szCs w:val="13"/>
                <w:lang w:val="en-GB"/>
              </w:rPr>
              <w:t>--</w:t>
            </w:r>
            <w:r>
              <w:rPr>
                <w:rFonts w:ascii="Times New Roman" w:hAnsi="Times New Roman" w:cs="Times New Roman"/>
                <w:sz w:val="13"/>
                <w:szCs w:val="13"/>
                <w:lang w:val="en-GB"/>
              </w:rPr>
              <w:t>--ATGGG</w:t>
            </w:r>
          </w:p>
        </w:tc>
        <w:tc>
          <w:tcPr>
            <w:tcW w:w="955" w:type="pct"/>
            <w:shd w:val="clear" w:color="auto" w:fill="DBEEF3"/>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w:t>
            </w:r>
            <w:r>
              <w:rPr>
                <w:rFonts w:hint="eastAsia" w:ascii="Times New Roman" w:hAnsi="Times New Roman" w:cs="Times New Roman"/>
                <w:sz w:val="15"/>
                <w:szCs w:val="15"/>
              </w:rPr>
              <w:t xml:space="preserve"> WT</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tcBorders>
              <w:bottom w:val="nil"/>
            </w:tcBorders>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d14</w:t>
            </w:r>
          </w:p>
        </w:tc>
        <w:tc>
          <w:tcPr>
            <w:tcW w:w="361" w:type="pct"/>
            <w:tcBorders>
              <w:bottom w:val="nil"/>
            </w:tcBorders>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lang w:val="en-GB"/>
              </w:rPr>
              <w:t>公</w:t>
            </w:r>
          </w:p>
        </w:tc>
        <w:tc>
          <w:tcPr>
            <w:tcW w:w="3195" w:type="pct"/>
            <w:tcBorders>
              <w:bottom w:val="nil"/>
            </w:tcBorders>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w:t>
            </w:r>
            <w:r>
              <w:rPr>
                <w:rFonts w:hint="eastAsia" w:ascii="Times New Roman" w:hAnsi="Times New Roman" w:cs="Times New Roman"/>
                <w:sz w:val="13"/>
                <w:szCs w:val="13"/>
                <w:lang w:val="en-GB"/>
              </w:rPr>
              <w:t>-----------</w:t>
            </w:r>
            <w:r>
              <w:rPr>
                <w:rFonts w:ascii="Times New Roman" w:hAnsi="Times New Roman" w:cs="Times New Roman"/>
                <w:sz w:val="13"/>
                <w:szCs w:val="13"/>
                <w:lang w:val="en-GB"/>
              </w:rPr>
              <w:t>--------TGGG</w:t>
            </w:r>
          </w:p>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CCCTGGGGAG------------</w:t>
            </w:r>
            <w:r>
              <w:rPr>
                <w:rFonts w:hint="eastAsia" w:ascii="Times New Roman" w:hAnsi="Times New Roman" w:cs="Times New Roman"/>
                <w:sz w:val="13"/>
                <w:szCs w:val="13"/>
                <w:lang w:val="en-GB"/>
              </w:rPr>
              <w:t>---------------------------------------</w:t>
            </w:r>
            <w:r>
              <w:rPr>
                <w:rFonts w:ascii="Times New Roman" w:hAnsi="Times New Roman" w:cs="Times New Roman"/>
                <w:sz w:val="13"/>
                <w:szCs w:val="13"/>
                <w:lang w:val="en-GB"/>
              </w:rPr>
              <w:t>--------------------------TTGTAAGTTT</w:t>
            </w:r>
          </w:p>
        </w:tc>
        <w:tc>
          <w:tcPr>
            <w:tcW w:w="955" w:type="pct"/>
            <w:tcBorders>
              <w:bottom w:val="nil"/>
            </w:tcBorders>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△11</w:t>
            </w:r>
          </w:p>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2: △184</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tcBorders>
              <w:top w:val="nil"/>
            </w:tcBorders>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d15</w:t>
            </w:r>
          </w:p>
        </w:tc>
        <w:tc>
          <w:tcPr>
            <w:tcW w:w="361" w:type="pct"/>
            <w:tcBorders>
              <w:top w:val="nil"/>
            </w:tcBorders>
            <w:shd w:val="clear" w:color="auto" w:fill="DBEEF3"/>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lang w:val="en-GB"/>
              </w:rPr>
              <w:t>公</w:t>
            </w:r>
          </w:p>
        </w:tc>
        <w:tc>
          <w:tcPr>
            <w:tcW w:w="3195" w:type="pct"/>
            <w:tcBorders>
              <w:top w:val="nil"/>
            </w:tcBorders>
            <w:shd w:val="clear" w:color="auto" w:fill="DBEEF3"/>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w:t>
            </w:r>
            <w:r>
              <w:rPr>
                <w:rFonts w:hint="eastAsia" w:ascii="Times New Roman" w:hAnsi="Times New Roman" w:cs="Times New Roman"/>
                <w:sz w:val="13"/>
                <w:szCs w:val="13"/>
                <w:lang w:val="en-GB"/>
              </w:rPr>
              <w:t>------------</w:t>
            </w:r>
            <w:r>
              <w:rPr>
                <w:rFonts w:ascii="Times New Roman" w:hAnsi="Times New Roman" w:cs="Times New Roman"/>
                <w:sz w:val="13"/>
                <w:szCs w:val="13"/>
                <w:lang w:val="en-GB"/>
              </w:rPr>
              <w:t>---------TGGG</w:t>
            </w:r>
          </w:p>
        </w:tc>
        <w:tc>
          <w:tcPr>
            <w:tcW w:w="955" w:type="pct"/>
            <w:tcBorders>
              <w:top w:val="nil"/>
            </w:tcBorders>
            <w:shd w:val="clear" w:color="auto" w:fill="DBEEF3"/>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△11</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486" w:type="pct"/>
            <w:vAlign w:val="center"/>
          </w:tcPr>
          <w:p>
            <w:pPr>
              <w:adjustRightInd w:val="0"/>
              <w:snapToGrid w:val="0"/>
              <w:spacing w:line="264" w:lineRule="auto"/>
              <w:jc w:val="center"/>
              <w:rPr>
                <w:rFonts w:ascii="Times New Roman" w:hAnsi="Times New Roman" w:cs="Times New Roman"/>
                <w:sz w:val="15"/>
                <w:szCs w:val="15"/>
                <w:lang w:val="en-GB"/>
              </w:rPr>
            </w:pPr>
            <w:r>
              <w:rPr>
                <w:rFonts w:ascii="Times New Roman" w:hAnsi="Times New Roman" w:cs="Times New Roman"/>
                <w:sz w:val="15"/>
                <w:szCs w:val="15"/>
                <w:lang w:val="en-GB"/>
              </w:rPr>
              <w:t>d16</w:t>
            </w:r>
          </w:p>
        </w:tc>
        <w:tc>
          <w:tcPr>
            <w:tcW w:w="361" w:type="pct"/>
            <w:vAlign w:val="center"/>
          </w:tcPr>
          <w:p>
            <w:pPr>
              <w:adjustRightInd w:val="0"/>
              <w:snapToGrid w:val="0"/>
              <w:spacing w:line="264" w:lineRule="auto"/>
              <w:jc w:val="center"/>
              <w:rPr>
                <w:rFonts w:ascii="Times New Roman" w:hAnsi="Times New Roman" w:cs="Times New Roman"/>
                <w:sz w:val="15"/>
                <w:szCs w:val="15"/>
                <w:lang w:val="en-GB"/>
              </w:rPr>
            </w:pPr>
            <w:r>
              <w:rPr>
                <w:rFonts w:hint="eastAsia" w:ascii="Times New Roman" w:hAnsi="Times New Roman" w:cs="Times New Roman"/>
                <w:sz w:val="15"/>
                <w:szCs w:val="15"/>
              </w:rPr>
              <w:t>母</w:t>
            </w:r>
          </w:p>
        </w:tc>
        <w:tc>
          <w:tcPr>
            <w:tcW w:w="3195" w:type="pct"/>
            <w:vAlign w:val="center"/>
          </w:tcPr>
          <w:p>
            <w:pPr>
              <w:adjustRightInd w:val="0"/>
              <w:snapToGrid w:val="0"/>
              <w:spacing w:line="264" w:lineRule="auto"/>
              <w:jc w:val="left"/>
              <w:rPr>
                <w:rFonts w:ascii="Times New Roman" w:hAnsi="Times New Roman" w:cs="Times New Roman"/>
                <w:sz w:val="13"/>
                <w:szCs w:val="13"/>
                <w:lang w:val="en-GB"/>
              </w:rPr>
            </w:pPr>
            <w:r>
              <w:rPr>
                <w:rFonts w:ascii="Times New Roman" w:hAnsi="Times New Roman" w:cs="Times New Roman"/>
                <w:sz w:val="13"/>
                <w:szCs w:val="13"/>
                <w:lang w:val="en-GB"/>
              </w:rPr>
              <w:t>GTTCCCCTTCACCGGGGTGGATGAACGGGAG//TGCCAGTGCTT-----</w:t>
            </w:r>
            <w:r>
              <w:rPr>
                <w:rFonts w:hint="eastAsia" w:ascii="Times New Roman" w:hAnsi="Times New Roman" w:cs="Times New Roman"/>
                <w:sz w:val="13"/>
                <w:szCs w:val="13"/>
                <w:lang w:val="en-GB"/>
              </w:rPr>
              <w:t>------------</w:t>
            </w:r>
            <w:r>
              <w:rPr>
                <w:rFonts w:ascii="Times New Roman" w:hAnsi="Times New Roman" w:cs="Times New Roman"/>
                <w:sz w:val="13"/>
                <w:szCs w:val="13"/>
                <w:lang w:val="en-GB"/>
              </w:rPr>
              <w:t>------TGGG</w:t>
            </w:r>
          </w:p>
        </w:tc>
        <w:tc>
          <w:tcPr>
            <w:tcW w:w="955" w:type="pct"/>
            <w:vAlign w:val="center"/>
          </w:tcPr>
          <w:p>
            <w:pPr>
              <w:adjustRightInd w:val="0"/>
              <w:snapToGrid w:val="0"/>
              <w:spacing w:line="264" w:lineRule="auto"/>
              <w:jc w:val="left"/>
              <w:rPr>
                <w:rFonts w:ascii="Times New Roman" w:hAnsi="Times New Roman" w:cs="Times New Roman"/>
                <w:sz w:val="15"/>
                <w:szCs w:val="15"/>
                <w:lang w:val="en-GB"/>
              </w:rPr>
            </w:pPr>
            <w:r>
              <w:rPr>
                <w:rFonts w:ascii="Times New Roman" w:hAnsi="Times New Roman" w:cs="Times New Roman"/>
                <w:sz w:val="15"/>
                <w:szCs w:val="15"/>
                <w:lang w:val="en-GB"/>
              </w:rPr>
              <w:t>allele 1: △11</w:t>
            </w:r>
          </w:p>
        </w:tc>
      </w:tr>
    </w:tbl>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sz w:val="21"/>
          <w:szCs w:val="21"/>
        </w:rPr>
      </w:pPr>
      <w:r>
        <w:rPr>
          <w:rFonts w:hint="eastAsia" w:ascii="宋体" w:hAnsi="宋体" w:eastAsia="宋体" w:cs="宋体"/>
          <w:sz w:val="21"/>
          <w:szCs w:val="21"/>
        </w:rPr>
        <w:t>注：下划线标记靶向位点。红色文本表示碱基插入；黄色突出显示表示碱基突变；（WT）野生型序列；（-）表示碱基删除；（+）表示插入碱基的数目；（△）表示删除碱基的数目；（→）表示突变碱基。</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left"/>
        <w:textAlignment w:val="auto"/>
        <w:rPr>
          <w:rFonts w:hint="eastAsia" w:ascii="宋体" w:hAnsi="宋体" w:eastAsia="宋体" w:cs="宋体"/>
          <w:i/>
          <w:iCs/>
        </w:rPr>
      </w:pPr>
    </w:p>
    <w:p>
      <w:pPr>
        <w:keepNext w:val="0"/>
        <w:keepLines w:val="0"/>
        <w:pageBreakBefore w:val="0"/>
        <w:widowControl/>
        <w:numPr>
          <w:ilvl w:val="0"/>
          <w:numId w:val="6"/>
        </w:numPr>
        <w:kinsoku/>
        <w:wordWrap/>
        <w:overflowPunct/>
        <w:topLinePunct w:val="0"/>
        <w:autoSpaceDE/>
        <w:autoSpaceDN/>
        <w:bidi w:val="0"/>
        <w:adjustRightInd w:val="0"/>
        <w:snapToGrid w:val="0"/>
        <w:spacing w:line="360" w:lineRule="auto"/>
        <w:ind w:left="425" w:hanging="425" w:firstLineChars="0"/>
        <w:jc w:val="left"/>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i/>
          <w:iCs/>
        </w:rPr>
        <w:t>TYR</w:t>
      </w:r>
      <w:r>
        <w:rPr>
          <w:rFonts w:hint="eastAsia" w:ascii="宋体" w:hAnsi="宋体" w:eastAsia="宋体" w:cs="宋体"/>
          <w:i/>
          <w:iCs/>
          <w:vertAlign w:val="superscript"/>
          <w:lang w:val="en-US" w:eastAsia="zh-CN"/>
        </w:rPr>
        <w:t>-/-</w:t>
      </w:r>
      <w:r>
        <w:rPr>
          <w:rFonts w:hint="eastAsia" w:ascii="宋体" w:hAnsi="宋体" w:eastAsia="宋体" w:cs="宋体"/>
          <w:i w:val="0"/>
          <w:iCs w:val="0"/>
          <w:vertAlign w:val="baseline"/>
          <w:lang w:val="en-US" w:eastAsia="zh-CN"/>
        </w:rPr>
        <w:t>猪</w:t>
      </w:r>
      <w:r>
        <w:rPr>
          <w:rFonts w:hint="eastAsia" w:ascii="宋体" w:hAnsi="宋体" w:eastAsia="宋体" w:cs="宋体"/>
          <w:sz w:val="24"/>
          <w:szCs w:val="24"/>
          <w:vertAlign w:val="baseline"/>
          <w:lang w:val="en-US" w:eastAsia="zh-CN"/>
        </w:rPr>
        <w:t>外观表型分析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肉眼观察可见（图6），F0代仔猪</w:t>
      </w:r>
      <w:r>
        <w:rPr>
          <w:rFonts w:hint="eastAsia" w:ascii="宋体" w:hAnsi="宋体" w:eastAsia="宋体" w:cs="宋体"/>
          <w:sz w:val="24"/>
          <w:szCs w:val="24"/>
          <w:lang w:val="en-US" w:eastAsia="zh-CN"/>
        </w:rPr>
        <w:t>全身皮肤色素缺乏，皮肤毛细血管显露，呈红色及白色，并伴有</w:t>
      </w:r>
      <w:r>
        <w:rPr>
          <w:rFonts w:hint="eastAsia" w:ascii="宋体" w:hAnsi="宋体" w:eastAsia="宋体" w:cs="宋体"/>
        </w:rPr>
        <w:t>不同程度的血管扩张</w:t>
      </w:r>
      <w:r>
        <w:rPr>
          <w:rFonts w:hint="eastAsia" w:ascii="宋体" w:hAnsi="宋体" w:eastAsia="宋体" w:cs="宋体"/>
          <w:lang w:eastAsia="zh-CN"/>
        </w:rPr>
        <w:t>。</w:t>
      </w:r>
      <w:r>
        <w:rPr>
          <w:rFonts w:hint="eastAsia" w:ascii="宋体" w:hAnsi="宋体" w:eastAsia="宋体" w:cs="宋体"/>
        </w:rPr>
        <w:t>毛发呈纯白色。眼睫毛及眉毛呈白色或淡黄色。虹膜颜色减退，瞳孔颜色减退</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default" w:ascii="Times New Roman" w:hAnsi="Times New Roman" w:cs="Times New Roman"/>
        </w:rPr>
        <w:drawing>
          <wp:inline distT="0" distB="0" distL="114300" distR="114300">
            <wp:extent cx="5039995" cy="2317750"/>
            <wp:effectExtent l="0" t="0" r="14605" b="19050"/>
            <wp:docPr id="1" name="图片 1" descr="3-5-6-7白化表型-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5-6-7白化表型-01"/>
                    <pic:cNvPicPr>
                      <a:picLocks noChangeAspect="1"/>
                    </pic:cNvPicPr>
                  </pic:nvPicPr>
                  <pic:blipFill>
                    <a:blip r:embed="rId6"/>
                    <a:stretch>
                      <a:fillRect/>
                    </a:stretch>
                  </pic:blipFill>
                  <pic:spPr>
                    <a:xfrm>
                      <a:off x="0" y="0"/>
                      <a:ext cx="5039995" cy="2317750"/>
                    </a:xfrm>
                    <a:prstGeom prst="rect">
                      <a:avLst/>
                    </a:prstGeom>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eastAsia="zh-CN"/>
        </w:rPr>
        <w:t>图6</w:t>
      </w:r>
      <w:r>
        <w:rPr>
          <w:rFonts w:hint="default" w:ascii="Times New Roman" w:hAnsi="Times New Roman" w:cs="Times New Roman"/>
          <w:sz w:val="21"/>
          <w:szCs w:val="21"/>
        </w:rPr>
        <w:t xml:space="preserve">  </w:t>
      </w:r>
      <w:r>
        <w:rPr>
          <w:rFonts w:hint="default" w:ascii="Times New Roman" w:hAnsi="Times New Roman" w:cs="Times New Roman"/>
          <w:i/>
          <w:iCs/>
          <w:sz w:val="21"/>
          <w:szCs w:val="21"/>
        </w:rPr>
        <w:t>TYR</w:t>
      </w:r>
      <w:r>
        <w:rPr>
          <w:rFonts w:hint="default" w:ascii="Times New Roman" w:hAnsi="Times New Roman" w:cs="Times New Roman"/>
          <w:i/>
          <w:iCs/>
          <w:sz w:val="21"/>
          <w:szCs w:val="21"/>
          <w:vertAlign w:val="superscript"/>
        </w:rPr>
        <w:t>-/-</w:t>
      </w:r>
      <w:r>
        <w:rPr>
          <w:rFonts w:hint="default" w:ascii="Times New Roman" w:hAnsi="Times New Roman" w:cs="Times New Roman"/>
          <w:sz w:val="21"/>
          <w:szCs w:val="21"/>
        </w:rPr>
        <w:t>猪</w:t>
      </w:r>
      <w:r>
        <w:rPr>
          <w:rFonts w:hint="eastAsia" w:ascii="Times New Roman" w:hAnsi="Times New Roman" w:cs="Times New Roman"/>
          <w:sz w:val="21"/>
          <w:szCs w:val="21"/>
          <w:lang w:val="en-US" w:eastAsia="zh-CN"/>
        </w:rPr>
        <w:t>外观、</w:t>
      </w:r>
      <w:r>
        <w:rPr>
          <w:rFonts w:hint="default" w:ascii="Times New Roman" w:hAnsi="Times New Roman" w:cs="Times New Roman"/>
          <w:sz w:val="21"/>
          <w:szCs w:val="21"/>
        </w:rPr>
        <w:t>眼睛和耳朵比较。</w:t>
      </w:r>
    </w:p>
    <w:p>
      <w:pPr>
        <w:keepNext w:val="0"/>
        <w:keepLines w:val="0"/>
        <w:pageBreakBefore w:val="0"/>
        <w:numPr>
          <w:ilvl w:val="-1"/>
          <w:numId w:val="0"/>
        </w:numPr>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sz w:val="21"/>
          <w:szCs w:val="21"/>
        </w:rPr>
      </w:pP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left="425" w:hanging="425"/>
        <w:jc w:val="left"/>
        <w:textAlignment w:val="auto"/>
        <w:rPr>
          <w:rFonts w:hint="eastAsia" w:ascii="宋体" w:hAnsi="宋体" w:eastAsia="宋体" w:cs="宋体"/>
        </w:rPr>
      </w:pPr>
      <w:r>
        <w:rPr>
          <w:rFonts w:hint="eastAsia" w:ascii="宋体" w:hAnsi="宋体" w:eastAsia="宋体" w:cs="宋体"/>
        </w:rPr>
        <w:t>泛发性皮肤色素</w:t>
      </w:r>
      <w:r>
        <w:rPr>
          <w:rFonts w:hint="eastAsia" w:ascii="宋体" w:hAnsi="宋体" w:eastAsia="宋体" w:cs="宋体"/>
          <w:lang w:val="en-US" w:eastAsia="zh-CN"/>
        </w:rPr>
        <w:t>检测</w:t>
      </w:r>
    </w:p>
    <w:p>
      <w:pPr>
        <w:keepNext w:val="0"/>
        <w:keepLines w:val="0"/>
        <w:pageBreakBefore w:val="0"/>
        <w:widowControl w:val="0"/>
        <w:numPr>
          <w:ilvl w:val="-1"/>
          <w:numId w:val="0"/>
        </w:numPr>
        <w:kinsoku/>
        <w:wordWrap/>
        <w:overflowPunct/>
        <w:topLinePunct w:val="0"/>
        <w:autoSpaceDE/>
        <w:autoSpaceDN/>
        <w:bidi w:val="0"/>
        <w:adjustRightInd w:val="0"/>
        <w:snapToGrid w:val="0"/>
        <w:spacing w:line="360" w:lineRule="auto"/>
        <w:ind w:left="0" w:firstLine="480" w:firstLineChars="200"/>
        <w:jc w:val="left"/>
        <w:textAlignment w:val="auto"/>
        <w:rPr>
          <w:rFonts w:hint="eastAsia" w:ascii="宋体" w:hAnsi="宋体" w:eastAsia="宋体" w:cs="宋体"/>
          <w:lang w:val="en-US" w:eastAsia="zh-CN"/>
        </w:rPr>
      </w:pPr>
      <w:r>
        <w:rPr>
          <w:rFonts w:hint="eastAsia" w:ascii="宋体" w:hAnsi="宋体" w:eastAsia="宋体" w:cs="宋体"/>
          <w:lang w:val="en-US" w:eastAsia="zh-CN"/>
        </w:rPr>
        <w:t>取</w:t>
      </w:r>
      <w:r>
        <w:rPr>
          <w:rFonts w:hint="eastAsia" w:ascii="宋体" w:hAnsi="宋体" w:eastAsia="宋体" w:cs="宋体"/>
          <w:i/>
          <w:iCs/>
        </w:rPr>
        <w:t>TYR</w:t>
      </w:r>
      <w:r>
        <w:rPr>
          <w:rFonts w:hint="eastAsia" w:ascii="宋体" w:hAnsi="宋体" w:eastAsia="宋体" w:cs="宋体"/>
          <w:i/>
          <w:iCs/>
          <w:vertAlign w:val="superscript"/>
          <w:lang w:val="en-US" w:eastAsia="zh-CN"/>
        </w:rPr>
        <w:t>-/-</w:t>
      </w:r>
      <w:r>
        <w:rPr>
          <w:rFonts w:hint="eastAsia" w:ascii="宋体" w:hAnsi="宋体" w:eastAsia="宋体" w:cs="宋体"/>
          <w:i w:val="0"/>
          <w:iCs w:val="0"/>
          <w:vertAlign w:val="baseline"/>
          <w:lang w:val="en-US" w:eastAsia="zh-CN"/>
        </w:rPr>
        <w:t>猪</w:t>
      </w:r>
      <w:r>
        <w:rPr>
          <w:rFonts w:hint="eastAsia" w:ascii="宋体" w:hAnsi="宋体" w:eastAsia="宋体" w:cs="宋体"/>
          <w:lang w:val="en-US" w:eastAsia="zh-CN"/>
        </w:rPr>
        <w:t>皮肤组织进行</w:t>
      </w:r>
      <w:r>
        <w:rPr>
          <w:rFonts w:hint="eastAsia" w:ascii="宋体" w:hAnsi="宋体" w:eastAsia="宋体" w:cs="宋体"/>
        </w:rPr>
        <w:t>银氨核固红染色</w:t>
      </w:r>
      <w:r>
        <w:rPr>
          <w:rFonts w:hint="eastAsia" w:ascii="宋体" w:hAnsi="宋体" w:eastAsia="宋体" w:cs="宋体"/>
          <w:lang w:eastAsia="zh-CN"/>
        </w:rPr>
        <w:t>，</w:t>
      </w:r>
      <w:r>
        <w:rPr>
          <w:rFonts w:hint="eastAsia" w:ascii="宋体" w:hAnsi="宋体" w:eastAsia="宋体" w:cs="宋体"/>
          <w:lang w:val="en-US" w:eastAsia="zh-CN"/>
        </w:rPr>
        <w:t>结果可见皮肤</w:t>
      </w:r>
      <w:r>
        <w:rPr>
          <w:rFonts w:hint="eastAsia" w:ascii="宋体" w:hAnsi="宋体" w:eastAsia="宋体" w:cs="宋体"/>
        </w:rPr>
        <w:t>表皮黑素减少，但黑素细胞数目正常</w:t>
      </w:r>
      <w:r>
        <w:rPr>
          <w:rFonts w:hint="eastAsia" w:ascii="宋体" w:hAnsi="宋体" w:eastAsia="宋体" w:cs="宋体"/>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sz w:val="24"/>
          <w:szCs w:val="24"/>
          <w:lang w:val="en-US" w:eastAsia="zh-CN"/>
        </w:rPr>
      </w:pPr>
      <w:r>
        <w:rPr>
          <w:rFonts w:ascii="Times New Roman" w:hAnsi="Times New Roman" w:cs="Times New Roman"/>
        </w:rPr>
        <w:drawing>
          <wp:inline distT="0" distB="0" distL="114300" distR="114300">
            <wp:extent cx="3599815" cy="2707640"/>
            <wp:effectExtent l="0" t="0" r="6985" b="10160"/>
            <wp:docPr id="6" name="图片 6" descr="3-8白化皮肤病理-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3-8白化皮肤病理-01-01"/>
                    <pic:cNvPicPr>
                      <a:picLocks noChangeAspect="1"/>
                    </pic:cNvPicPr>
                  </pic:nvPicPr>
                  <pic:blipFill>
                    <a:blip r:embed="rId7"/>
                    <a:stretch>
                      <a:fillRect/>
                    </a:stretch>
                  </pic:blipFill>
                  <pic:spPr>
                    <a:xfrm>
                      <a:off x="0" y="0"/>
                      <a:ext cx="3599815" cy="2707640"/>
                    </a:xfrm>
                    <a:prstGeom prst="rect">
                      <a:avLst/>
                    </a:prstGeom>
                  </pic:spPr>
                </pic:pic>
              </a:graphicData>
            </a:graphic>
          </wp:inline>
        </w:drawing>
      </w:r>
    </w:p>
    <w:p>
      <w:pPr>
        <w:adjustRightInd w:val="0"/>
        <w:snapToGrid w:val="0"/>
        <w:spacing w:line="360" w:lineRule="auto"/>
        <w:jc w:val="center"/>
        <w:rPr>
          <w:rFonts w:ascii="Times New Roman" w:hAnsi="Times New Roman" w:cs="Times New Roman"/>
        </w:rPr>
      </w:pPr>
      <w:r>
        <w:rPr>
          <w:rFonts w:hint="eastAsia" w:ascii="Times New Roman" w:hAnsi="Times New Roman" w:cs="Times New Roman"/>
          <w:sz w:val="21"/>
          <w:szCs w:val="21"/>
          <w:lang w:eastAsia="zh-CN"/>
        </w:rPr>
        <w:t>图8</w:t>
      </w:r>
      <w:r>
        <w:rPr>
          <w:rFonts w:hint="default" w:ascii="Times New Roman" w:hAnsi="Times New Roman" w:cs="Times New Roman"/>
          <w:sz w:val="21"/>
          <w:szCs w:val="21"/>
        </w:rPr>
        <w:t xml:space="preserve">  </w:t>
      </w:r>
      <w:r>
        <w:rPr>
          <w:rFonts w:hint="default" w:ascii="Times New Roman" w:hAnsi="Times New Roman" w:cs="Times New Roman"/>
          <w:i/>
          <w:iCs/>
          <w:sz w:val="21"/>
          <w:szCs w:val="21"/>
        </w:rPr>
        <w:t>TYR</w:t>
      </w:r>
      <w:r>
        <w:rPr>
          <w:rFonts w:hint="default" w:ascii="Times New Roman" w:hAnsi="Times New Roman" w:cs="Times New Roman"/>
          <w:i/>
          <w:iCs/>
          <w:sz w:val="21"/>
          <w:szCs w:val="21"/>
          <w:vertAlign w:val="superscript"/>
        </w:rPr>
        <w:t>-/-</w:t>
      </w:r>
      <w:r>
        <w:rPr>
          <w:rFonts w:hint="default" w:ascii="Times New Roman" w:hAnsi="Times New Roman" w:cs="Times New Roman"/>
          <w:sz w:val="21"/>
          <w:szCs w:val="21"/>
        </w:rPr>
        <w:t>猪皮肤病理</w:t>
      </w:r>
    </w:p>
    <w:p>
      <w:pPr>
        <w:adjustRightInd w:val="0"/>
        <w:snapToGrid w:val="0"/>
        <w:spacing w:line="360" w:lineRule="auto"/>
        <w:jc w:val="both"/>
        <w:rPr>
          <w:rFonts w:ascii="Times New Roman" w:hAnsi="Times New Roman" w:cs="Times New Roman"/>
          <w:sz w:val="21"/>
          <w:szCs w:val="21"/>
        </w:rPr>
      </w:pPr>
      <w:r>
        <w:rPr>
          <w:rFonts w:hint="default" w:ascii="Times New Roman" w:hAnsi="Times New Roman" w:cs="Times New Roman"/>
          <w:sz w:val="21"/>
          <w:szCs w:val="21"/>
          <w:lang w:val="en-US" w:eastAsia="zh-CN"/>
        </w:rPr>
        <w:t>切片采用了</w:t>
      </w:r>
      <w:r>
        <w:rPr>
          <w:rFonts w:hint="default" w:ascii="Times New Roman" w:hAnsi="Times New Roman" w:cs="Times New Roman"/>
          <w:sz w:val="21"/>
          <w:szCs w:val="21"/>
        </w:rPr>
        <w:t>银氨核固红染色</w:t>
      </w:r>
      <w:r>
        <w:rPr>
          <w:rFonts w:hint="default" w:ascii="Times New Roman" w:hAnsi="Times New Roman" w:cs="Times New Roman"/>
          <w:sz w:val="21"/>
          <w:szCs w:val="21"/>
          <w:lang w:eastAsia="zh-CN"/>
        </w:rPr>
        <w:t>。</w:t>
      </w:r>
      <w:r>
        <w:rPr>
          <w:rFonts w:hint="default" w:ascii="Times New Roman" w:hAnsi="Times New Roman" w:cs="Times New Roman"/>
          <w:sz w:val="21"/>
          <w:szCs w:val="21"/>
        </w:rPr>
        <w:t>低倍图像和高倍图像的标尺分别为200 μm和100 μm。</w:t>
      </w:r>
    </w:p>
    <w:p>
      <w:pPr>
        <w:numPr>
          <w:ilvl w:val="0"/>
          <w:numId w:val="0"/>
        </w:numPr>
        <w:spacing w:line="360" w:lineRule="auto"/>
        <w:rPr>
          <w:rFonts w:hint="eastAsia" w:ascii="宋体" w:hAnsi="宋体" w:eastAsia="宋体" w:cs="宋体"/>
          <w:lang w:val="en-US" w:eastAsia="zh-CN"/>
        </w:rPr>
      </w:pPr>
    </w:p>
    <w:p>
      <w:pPr>
        <w:numPr>
          <w:ilvl w:val="0"/>
          <w:numId w:val="6"/>
        </w:numPr>
        <w:spacing w:line="360" w:lineRule="auto"/>
        <w:ind w:left="425" w:hanging="425" w:firstLineChars="0"/>
        <w:rPr>
          <w:rFonts w:hint="eastAsia" w:ascii="宋体" w:hAnsi="宋体" w:eastAsia="宋体" w:cs="宋体"/>
          <w:lang w:val="en-US" w:eastAsia="zh-CN"/>
        </w:rPr>
      </w:pPr>
      <w:r>
        <w:rPr>
          <w:rFonts w:hint="eastAsia" w:ascii="宋体" w:hAnsi="宋体" w:eastAsia="宋体" w:cs="宋体"/>
        </w:rPr>
        <w:t>眼部色素</w:t>
      </w:r>
      <w:r>
        <w:rPr>
          <w:rFonts w:hint="eastAsia" w:ascii="宋体" w:hAnsi="宋体" w:eastAsia="宋体" w:cs="宋体"/>
          <w:lang w:val="en-US" w:eastAsia="zh-CN"/>
        </w:rPr>
        <w:t>检测</w:t>
      </w:r>
    </w:p>
    <w:p>
      <w:pPr>
        <w:keepNext w:val="0"/>
        <w:keepLines w:val="0"/>
        <w:widowControl/>
        <w:numPr>
          <w:ilvl w:val="-1"/>
          <w:numId w:val="0"/>
        </w:numPr>
        <w:suppressLineNumbers w:val="0"/>
        <w:spacing w:line="360" w:lineRule="auto"/>
        <w:ind w:left="0" w:firstLine="480" w:firstLineChars="200"/>
        <w:jc w:val="left"/>
        <w:rPr>
          <w:rFonts w:hint="eastAsia" w:ascii="宋体" w:hAnsi="宋体" w:eastAsia="宋体" w:cs="宋体"/>
        </w:rPr>
      </w:pPr>
      <w:r>
        <w:rPr>
          <w:rFonts w:hint="eastAsia" w:ascii="宋体" w:hAnsi="宋体" w:eastAsia="宋体" w:cs="宋体"/>
          <w:i/>
          <w:iCs/>
        </w:rPr>
        <w:t>TYR</w:t>
      </w:r>
      <w:r>
        <w:rPr>
          <w:rFonts w:hint="eastAsia" w:ascii="宋体" w:hAnsi="宋体" w:eastAsia="宋体" w:cs="宋体"/>
          <w:i/>
          <w:iCs/>
          <w:vertAlign w:val="superscript"/>
          <w:lang w:val="en-US" w:eastAsia="zh-CN"/>
        </w:rPr>
        <w:t>-/-</w:t>
      </w:r>
      <w:r>
        <w:rPr>
          <w:rFonts w:hint="eastAsia" w:ascii="宋体" w:hAnsi="宋体" w:eastAsia="宋体" w:cs="宋体"/>
          <w:i w:val="0"/>
          <w:iCs w:val="0"/>
          <w:vertAlign w:val="baseline"/>
          <w:lang w:val="en-US" w:eastAsia="zh-CN"/>
        </w:rPr>
        <w:t>猪</w:t>
      </w:r>
      <w:r>
        <w:rPr>
          <w:rFonts w:hint="eastAsia" w:ascii="宋体" w:hAnsi="宋体" w:eastAsia="宋体" w:cs="宋体"/>
          <w:i w:val="0"/>
          <w:iCs w:val="0"/>
          <w:caps w:val="0"/>
          <w:spacing w:val="0"/>
          <w:kern w:val="2"/>
          <w:sz w:val="24"/>
          <w:szCs w:val="24"/>
          <w:shd w:val="clear"/>
          <w:lang w:val="en-US" w:eastAsia="zh-CN" w:bidi="ar"/>
        </w:rPr>
        <w:t>眼部组织</w:t>
      </w:r>
      <w:r>
        <w:rPr>
          <w:rFonts w:hint="eastAsia" w:ascii="宋体" w:hAnsi="宋体" w:eastAsia="宋体" w:cs="宋体"/>
          <w:i w:val="0"/>
          <w:iCs w:val="0"/>
          <w:caps w:val="0"/>
          <w:spacing w:val="0"/>
          <w:kern w:val="2"/>
          <w:sz w:val="24"/>
          <w:szCs w:val="24"/>
          <w:shd w:val="clear" w:fill="auto"/>
          <w:lang w:val="en-US" w:eastAsia="zh-CN" w:bidi="ar"/>
        </w:rPr>
        <w:t>银染结果显示黑素缺乏。</w:t>
      </w:r>
    </w:p>
    <w:p>
      <w:pPr>
        <w:numPr>
          <w:ilvl w:val="-1"/>
          <w:numId w:val="0"/>
        </w:numPr>
        <w:spacing w:line="360" w:lineRule="auto"/>
        <w:ind w:left="0" w:firstLine="0" w:firstLineChars="0"/>
        <w:rPr>
          <w:rFonts w:hint="eastAsia" w:ascii="宋体" w:hAnsi="宋体" w:eastAsia="宋体" w:cs="宋体"/>
          <w:lang w:val="en-US" w:eastAsia="zh-CN"/>
        </w:rPr>
      </w:pPr>
    </w:p>
    <w:p>
      <w:pPr>
        <w:widowControl/>
        <w:numPr>
          <w:ilvl w:val="0"/>
          <w:numId w:val="0"/>
        </w:numPr>
        <w:jc w:val="center"/>
        <w:rPr>
          <w:rFonts w:hint="eastAsia" w:ascii="宋体" w:hAnsi="宋体" w:eastAsia="宋体" w:cs="宋体"/>
          <w:sz w:val="24"/>
          <w:szCs w:val="24"/>
          <w:lang w:val="en-US" w:eastAsia="zh-CN"/>
        </w:rPr>
      </w:pPr>
      <w:r>
        <w:rPr>
          <w:rFonts w:ascii="Times New Roman" w:hAnsi="Times New Roman" w:cs="Times New Roman"/>
        </w:rPr>
        <w:drawing>
          <wp:inline distT="0" distB="0" distL="114300" distR="114300">
            <wp:extent cx="3420110" cy="2592070"/>
            <wp:effectExtent l="0" t="0" r="8890" b="24130"/>
            <wp:docPr id="7" name="图片 7" descr="3-7白化眼睛病理-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白化眼睛病理-01"/>
                    <pic:cNvPicPr>
                      <a:picLocks noChangeAspect="1"/>
                    </pic:cNvPicPr>
                  </pic:nvPicPr>
                  <pic:blipFill>
                    <a:blip r:embed="rId8"/>
                    <a:stretch>
                      <a:fillRect/>
                    </a:stretch>
                  </pic:blipFill>
                  <pic:spPr>
                    <a:xfrm>
                      <a:off x="0" y="0"/>
                      <a:ext cx="3420110" cy="2592070"/>
                    </a:xfrm>
                    <a:prstGeom prst="rect">
                      <a:avLst/>
                    </a:prstGeom>
                  </pic:spPr>
                </pic:pic>
              </a:graphicData>
            </a:graphic>
          </wp:inline>
        </w:drawing>
      </w:r>
    </w:p>
    <w:p>
      <w:pPr>
        <w:numPr>
          <w:ilvl w:val="0"/>
          <w:numId w:val="0"/>
        </w:numPr>
        <w:bidi w:val="0"/>
        <w:adjustRightInd w:val="0"/>
        <w:snapToGrid w:val="0"/>
        <w:spacing w:line="360" w:lineRule="auto"/>
        <w:jc w:val="center"/>
        <w:rPr>
          <w:rFonts w:hint="eastAsia"/>
          <w:lang w:val="en-US" w:eastAsia="zh-CN"/>
        </w:rPr>
      </w:pPr>
      <w:r>
        <w:rPr>
          <w:rFonts w:hint="eastAsia" w:ascii="Times New Roman" w:hAnsi="Times New Roman" w:cs="Times New Roman"/>
          <w:sz w:val="21"/>
          <w:szCs w:val="21"/>
          <w:lang w:eastAsia="zh-CN"/>
        </w:rPr>
        <w:t>图7</w:t>
      </w:r>
      <w:r>
        <w:rPr>
          <w:rFonts w:hint="default" w:ascii="Times New Roman" w:hAnsi="Times New Roman" w:cs="Times New Roman"/>
          <w:sz w:val="21"/>
          <w:szCs w:val="21"/>
        </w:rPr>
        <w:t xml:space="preserve">  </w:t>
      </w:r>
      <w:r>
        <w:rPr>
          <w:rFonts w:hint="default" w:ascii="Times New Roman" w:hAnsi="Times New Roman" w:cs="Times New Roman"/>
          <w:i/>
          <w:iCs/>
          <w:sz w:val="21"/>
          <w:szCs w:val="21"/>
        </w:rPr>
        <w:t>TYR</w:t>
      </w:r>
      <w:r>
        <w:rPr>
          <w:rFonts w:hint="default" w:ascii="Times New Roman" w:hAnsi="Times New Roman" w:cs="Times New Roman"/>
          <w:i/>
          <w:iCs/>
          <w:sz w:val="21"/>
          <w:szCs w:val="21"/>
          <w:vertAlign w:val="superscript"/>
        </w:rPr>
        <w:t>-/-</w:t>
      </w:r>
      <w:r>
        <w:rPr>
          <w:rFonts w:hint="default" w:ascii="Times New Roman" w:hAnsi="Times New Roman" w:cs="Times New Roman"/>
          <w:sz w:val="21"/>
          <w:szCs w:val="21"/>
        </w:rPr>
        <w:t>猪眼球病理</w:t>
      </w:r>
    </w:p>
    <w:p>
      <w:pPr>
        <w:pStyle w:val="7"/>
        <w:keepNext w:val="0"/>
        <w:keepLines w:val="0"/>
        <w:widowControl/>
        <w:suppressLineNumbers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4.4 阳性药物对其指标的证实效应</w:t>
      </w:r>
    </w:p>
    <w:p>
      <w:pPr>
        <w:pStyle w:val="7"/>
        <w:keepNext w:val="0"/>
        <w:keepLines w:val="0"/>
        <w:widowControl/>
        <w:suppressLineNumbers w:val="0"/>
        <w:spacing w:line="360" w:lineRule="auto"/>
        <w:ind w:firstLine="480" w:firstLineChars="200"/>
        <w:rPr>
          <w:rFonts w:hint="default" w:ascii="宋体" w:hAnsi="宋体" w:eastAsia="宋体" w:cs="宋体"/>
          <w:kern w:val="2"/>
          <w:lang w:val="en-US" w:bidi="ar-SA"/>
        </w:rPr>
      </w:pPr>
      <w:r>
        <w:rPr>
          <w:rFonts w:hint="eastAsia" w:ascii="宋体" w:hAnsi="宋体" w:eastAsia="宋体" w:cs="宋体"/>
          <w:kern w:val="2"/>
          <w:lang w:val="en-US" w:eastAsia="zh-CN" w:bidi="ar-SA"/>
        </w:rPr>
        <w:t>依据</w:t>
      </w:r>
      <w:r>
        <w:rPr>
          <w:rFonts w:hint="eastAsia" w:ascii="宋体" w:hAnsi="宋体" w:eastAsia="宋体" w:cs="宋体"/>
          <w:kern w:val="2"/>
          <w:lang w:bidi="ar-SA"/>
        </w:rPr>
        <w:t>中华医学会医学遗传学分会</w:t>
      </w:r>
      <w:r>
        <w:rPr>
          <w:rFonts w:hint="eastAsia" w:ascii="宋体" w:hAnsi="宋体" w:eastAsia="宋体" w:cs="宋体"/>
          <w:kern w:val="2"/>
          <w:lang w:val="en-US" w:eastAsia="zh-CN" w:bidi="ar-SA"/>
        </w:rPr>
        <w:t>编写的《白化病的临床实践指南》，</w:t>
      </w:r>
      <w:r>
        <w:rPr>
          <w:rFonts w:hint="eastAsia" w:ascii="宋体" w:hAnsi="宋体" w:eastAsia="宋体" w:cs="宋体"/>
          <w:kern w:val="2"/>
          <w:lang w:bidi="ar-SA"/>
        </w:rPr>
        <w:t>白化病是一组与色素合成相关的基因发生变异、导致黑色素缺乏的单基因遗传病</w:t>
      </w:r>
      <w:r>
        <w:rPr>
          <w:rFonts w:hint="eastAsia" w:ascii="宋体" w:hAnsi="宋体" w:eastAsia="宋体" w:cs="宋体"/>
          <w:kern w:val="2"/>
          <w:lang w:eastAsia="zh-CN" w:bidi="ar-SA"/>
        </w:rPr>
        <w:t>，</w:t>
      </w:r>
      <w:r>
        <w:rPr>
          <w:rFonts w:hint="eastAsia" w:ascii="宋体" w:hAnsi="宋体" w:eastAsia="宋体" w:cs="宋体"/>
          <w:kern w:val="2"/>
          <w:lang w:bidi="ar-SA"/>
        </w:rPr>
        <w:t>除OA-1表现为X连锁隐性遗传外，其余白化病均呈常染色体隐性遗传</w:t>
      </w:r>
      <w:r>
        <w:rPr>
          <w:rFonts w:hint="eastAsia" w:ascii="宋体" w:hAnsi="宋体" w:eastAsia="宋体" w:cs="宋体"/>
          <w:kern w:val="2"/>
          <w:vertAlign w:val="superscript"/>
          <w:lang w:val="en-US" w:eastAsia="zh-CN" w:bidi="ar-SA"/>
        </w:rPr>
        <w:t>[18]</w:t>
      </w:r>
      <w:r>
        <w:rPr>
          <w:rFonts w:hint="eastAsia" w:ascii="宋体" w:hAnsi="宋体" w:eastAsia="宋体" w:cs="宋体"/>
          <w:kern w:val="2"/>
          <w:lang w:bidi="ar-SA"/>
        </w:rPr>
        <w:t>。白化病的危害主要是眼部损害和易患皮肤癌</w:t>
      </w:r>
      <w:r>
        <w:rPr>
          <w:rFonts w:hint="eastAsia" w:ascii="宋体" w:hAnsi="宋体" w:eastAsia="宋体" w:cs="宋体"/>
          <w:kern w:val="2"/>
          <w:lang w:eastAsia="zh-CN" w:bidi="ar-SA"/>
        </w:rPr>
        <w:t>，</w:t>
      </w:r>
      <w:r>
        <w:rPr>
          <w:rFonts w:hint="eastAsia" w:ascii="宋体" w:hAnsi="宋体" w:eastAsia="宋体" w:cs="宋体"/>
          <w:kern w:val="2"/>
          <w:lang w:val="en-US" w:eastAsia="zh-CN" w:bidi="ar-SA"/>
        </w:rPr>
        <w:t>目前</w:t>
      </w:r>
      <w:r>
        <w:rPr>
          <w:rFonts w:hint="eastAsia" w:ascii="宋体" w:hAnsi="宋体" w:eastAsia="宋体" w:cs="宋体"/>
          <w:kern w:val="2"/>
          <w:lang w:bidi="ar-SA"/>
        </w:rPr>
        <w:t>缺乏有效的治疗</w:t>
      </w:r>
      <w:r>
        <w:rPr>
          <w:rFonts w:hint="eastAsia" w:ascii="宋体" w:hAnsi="宋体" w:eastAsia="宋体" w:cs="宋体"/>
          <w:kern w:val="2"/>
          <w:lang w:val="en-US" w:eastAsia="zh-CN" w:bidi="ar-SA"/>
        </w:rPr>
        <w:t>手段</w:t>
      </w:r>
      <w:r>
        <w:rPr>
          <w:rFonts w:hint="eastAsia" w:ascii="宋体" w:hAnsi="宋体" w:eastAsia="宋体" w:cs="宋体"/>
          <w:kern w:val="2"/>
          <w:lang w:bidi="ar-SA"/>
        </w:rPr>
        <w:t>，</w:t>
      </w:r>
      <w:r>
        <w:rPr>
          <w:rFonts w:hint="eastAsia" w:ascii="宋体" w:hAnsi="宋体" w:eastAsia="宋体" w:cs="宋体"/>
          <w:kern w:val="2"/>
          <w:lang w:val="en-US" w:eastAsia="zh-CN" w:bidi="ar-SA"/>
        </w:rPr>
        <w:t>主要通过</w:t>
      </w:r>
      <w:r>
        <w:rPr>
          <w:rFonts w:hint="eastAsia" w:ascii="宋体" w:hAnsi="宋体" w:eastAsia="宋体" w:cs="宋体"/>
          <w:kern w:val="2"/>
          <w:lang w:bidi="ar-SA"/>
        </w:rPr>
        <w:t>产前诊断预防</w:t>
      </w:r>
      <w:r>
        <w:rPr>
          <w:rFonts w:hint="eastAsia" w:ascii="宋体" w:hAnsi="宋体" w:eastAsia="宋体" w:cs="宋体"/>
          <w:kern w:val="2"/>
          <w:lang w:val="en-US" w:eastAsia="zh-CN" w:bidi="ar-SA"/>
        </w:rPr>
        <w:t>白化病</w:t>
      </w:r>
      <w:r>
        <w:rPr>
          <w:rFonts w:hint="eastAsia" w:ascii="宋体" w:hAnsi="宋体" w:eastAsia="宋体" w:cs="宋体"/>
          <w:kern w:val="2"/>
          <w:lang w:bidi="ar-SA"/>
        </w:rPr>
        <w:t>患儿出生</w:t>
      </w:r>
      <w:r>
        <w:rPr>
          <w:rFonts w:hint="eastAsia" w:ascii="宋体" w:hAnsi="宋体" w:eastAsia="宋体" w:cs="宋体"/>
          <w:kern w:val="2"/>
          <w:lang w:eastAsia="zh-CN" w:bidi="ar-SA"/>
        </w:rPr>
        <w:t>。</w:t>
      </w:r>
      <w:r>
        <w:rPr>
          <w:rFonts w:hint="eastAsia" w:ascii="宋体" w:hAnsi="宋体" w:eastAsia="宋体" w:cs="宋体"/>
          <w:kern w:val="2"/>
          <w:lang w:bidi="ar-SA"/>
        </w:rPr>
        <w:t>除对症治疗外，</w:t>
      </w:r>
      <w:r>
        <w:rPr>
          <w:rFonts w:hint="eastAsia" w:ascii="宋体" w:hAnsi="宋体" w:eastAsia="宋体" w:cs="宋体"/>
          <w:kern w:val="2"/>
          <w:lang w:val="en-US" w:eastAsia="zh-CN" w:bidi="ar-SA"/>
        </w:rPr>
        <w:t>以</w:t>
      </w:r>
      <w:r>
        <w:rPr>
          <w:rFonts w:hint="eastAsia" w:ascii="宋体" w:hAnsi="宋体" w:eastAsia="宋体" w:cs="宋体"/>
          <w:kern w:val="2"/>
          <w:lang w:bidi="ar-SA"/>
        </w:rPr>
        <w:t>减少紫外线对眼睛和皮肤的损害</w:t>
      </w:r>
      <w:r>
        <w:rPr>
          <w:rFonts w:hint="eastAsia" w:ascii="宋体" w:hAnsi="宋体" w:eastAsia="宋体" w:cs="宋体"/>
          <w:kern w:val="2"/>
          <w:lang w:val="en-US" w:eastAsia="zh-CN" w:bidi="ar-SA"/>
        </w:rPr>
        <w:t>为预防措施</w:t>
      </w:r>
      <w:r>
        <w:rPr>
          <w:rFonts w:hint="eastAsia" w:ascii="宋体" w:hAnsi="宋体" w:eastAsia="宋体" w:cs="宋体"/>
          <w:kern w:val="2"/>
          <w:lang w:bidi="ar-SA"/>
        </w:rPr>
        <w:t>。</w:t>
      </w:r>
    </w:p>
    <w:p>
      <w:pPr>
        <w:pStyle w:val="7"/>
        <w:keepNext w:val="0"/>
        <w:keepLines w:val="0"/>
        <w:widowControl/>
        <w:suppressLineNumbers w:val="0"/>
        <w:rPr>
          <w:rFonts w:hint="eastAsia" w:ascii="宋体" w:hAnsi="宋体" w:eastAsia="宋体" w:cs="宋体"/>
          <w:sz w:val="24"/>
          <w:szCs w:val="24"/>
        </w:rPr>
      </w:pPr>
      <w:r>
        <w:rPr>
          <w:rFonts w:hint="eastAsia" w:ascii="宋体" w:hAnsi="宋体" w:eastAsia="宋体" w:cs="宋体"/>
          <w:color w:val="auto"/>
          <w:sz w:val="24"/>
          <w:szCs w:val="24"/>
          <w:lang w:val="en-US" w:eastAsia="zh-CN"/>
        </w:rPr>
        <w:t>4.5</w:t>
      </w:r>
      <w:r>
        <w:rPr>
          <w:rFonts w:hint="eastAsia" w:ascii="宋体" w:hAnsi="宋体" w:eastAsia="宋体" w:cs="宋体"/>
          <w:color w:val="auto"/>
          <w:sz w:val="24"/>
          <w:szCs w:val="24"/>
        </w:rPr>
        <w:t xml:space="preserve">说明重复验证的批数 </w:t>
      </w:r>
    </w:p>
    <w:p>
      <w:pPr>
        <w:keepNext w:val="0"/>
        <w:keepLines w:val="0"/>
        <w:widowControl w:val="0"/>
        <w:numPr>
          <w:ilvl w:val="0"/>
          <w:numId w:val="0"/>
        </w:numPr>
        <w:suppressLineNumbers w:val="0"/>
        <w:adjustRightInd w:val="0"/>
        <w:snapToGrid w:val="0"/>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从2021年至2022年期间，我们重复构建了4批酪氨酸酶基因敲除白化西藏小型猪，共计获得16头F0代仔猪（见表20，abcd分别代表不同批次构建），依据表15中指标进行验证。</w:t>
      </w:r>
    </w:p>
    <w:p>
      <w:pPr>
        <w:keepNext w:val="0"/>
        <w:keepLines w:val="0"/>
        <w:widowControl w:val="0"/>
        <w:numPr>
          <w:ilvl w:val="0"/>
          <w:numId w:val="0"/>
        </w:numPr>
        <w:suppressLineNumbers w:val="0"/>
        <w:adjustRightInd w:val="0"/>
        <w:snapToGrid w:val="0"/>
        <w:spacing w:line="360" w:lineRule="auto"/>
        <w:ind w:firstLine="480" w:firstLineChars="20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第一批</w:t>
      </w:r>
      <w:r>
        <w:rPr>
          <w:rFonts w:hint="eastAsia" w:ascii="宋体" w:hAnsi="宋体" w:eastAsia="宋体" w:cs="宋体"/>
        </w:rPr>
        <w:t>a1</w:t>
      </w:r>
      <w:r>
        <w:rPr>
          <w:rFonts w:hint="eastAsia" w:ascii="宋体" w:hAnsi="宋体" w:eastAsia="宋体" w:cs="宋体"/>
          <w:lang w:val="en-US" w:eastAsia="zh-CN"/>
        </w:rPr>
        <w:t>及第三批</w:t>
      </w:r>
      <w:r>
        <w:rPr>
          <w:rFonts w:hint="eastAsia" w:ascii="宋体" w:hAnsi="宋体" w:eastAsia="宋体" w:cs="宋体"/>
        </w:rPr>
        <w:t>c10</w:t>
      </w:r>
      <w:r>
        <w:rPr>
          <w:rFonts w:hint="eastAsia" w:ascii="宋体" w:hAnsi="宋体" w:eastAsia="宋体" w:cs="宋体"/>
          <w:lang w:val="en-US" w:eastAsia="zh-CN"/>
        </w:rPr>
        <w:t>呈</w:t>
      </w:r>
      <w:r>
        <w:rPr>
          <w:rFonts w:hint="eastAsia" w:ascii="宋体" w:hAnsi="宋体" w:eastAsia="宋体" w:cs="宋体"/>
        </w:rPr>
        <w:t>呈野生型黑色表型</w:t>
      </w:r>
      <w:r>
        <w:rPr>
          <w:rFonts w:hint="eastAsia" w:ascii="宋体" w:hAnsi="宋体" w:eastAsia="宋体" w:cs="宋体"/>
          <w:lang w:eastAsia="zh-CN"/>
        </w:rPr>
        <w:t>，</w:t>
      </w:r>
      <w:r>
        <w:rPr>
          <w:rFonts w:hint="eastAsia" w:ascii="宋体" w:hAnsi="宋体" w:eastAsia="宋体" w:cs="宋体"/>
        </w:rPr>
        <w:t>提示至少携带了一个未被敲除的野生型TYR 等位基因</w:t>
      </w:r>
      <w:r>
        <w:rPr>
          <w:rFonts w:hint="eastAsia" w:ascii="宋体" w:hAnsi="宋体" w:eastAsia="宋体" w:cs="宋体"/>
          <w:lang w:val="en-US" w:eastAsia="zh-CN"/>
        </w:rPr>
        <w:t>；第三批</w:t>
      </w:r>
      <w:r>
        <w:rPr>
          <w:rFonts w:hint="eastAsia" w:ascii="宋体" w:hAnsi="宋体" w:eastAsia="宋体" w:cs="宋体"/>
        </w:rPr>
        <w:t>c11</w:t>
      </w:r>
      <w:r>
        <w:rPr>
          <w:rFonts w:hint="eastAsia" w:ascii="宋体" w:hAnsi="宋体" w:eastAsia="宋体" w:cs="宋体"/>
          <w:lang w:val="en-US" w:eastAsia="zh-CN"/>
        </w:rPr>
        <w:t>及第四批</w:t>
      </w:r>
      <w:r>
        <w:rPr>
          <w:rFonts w:hint="eastAsia" w:ascii="宋体" w:hAnsi="宋体" w:eastAsia="宋体" w:cs="宋体"/>
        </w:rPr>
        <w:t>d13呈部分色素缺失，被毛黑白相间，提示 TYR 基因不完全敲除，为嵌合体</w:t>
      </w:r>
      <w:r>
        <w:rPr>
          <w:rFonts w:hint="eastAsia" w:ascii="宋体" w:hAnsi="宋体" w:eastAsia="宋体" w:cs="宋体"/>
          <w:lang w:eastAsia="zh-CN"/>
        </w:rPr>
        <w:t>；</w:t>
      </w:r>
      <w:r>
        <w:rPr>
          <w:rFonts w:hint="eastAsia" w:ascii="宋体" w:hAnsi="宋体" w:eastAsia="宋体" w:cs="宋体"/>
          <w:lang w:val="en-US" w:eastAsia="zh-CN"/>
        </w:rPr>
        <w:t>第一批</w:t>
      </w:r>
      <w:r>
        <w:rPr>
          <w:rFonts w:hint="eastAsia" w:ascii="宋体" w:hAnsi="宋体" w:eastAsia="宋体" w:cs="宋体"/>
        </w:rPr>
        <w:t>a2、a3、a4</w:t>
      </w:r>
      <w:r>
        <w:rPr>
          <w:rFonts w:hint="eastAsia" w:ascii="宋体" w:hAnsi="宋体" w:eastAsia="宋体" w:cs="宋体"/>
          <w:lang w:eastAsia="zh-CN"/>
        </w:rPr>
        <w:t>、</w:t>
      </w:r>
      <w:r>
        <w:rPr>
          <w:rFonts w:hint="eastAsia" w:ascii="宋体" w:hAnsi="宋体" w:eastAsia="宋体" w:cs="宋体"/>
          <w:lang w:val="en-US" w:eastAsia="zh-CN"/>
        </w:rPr>
        <w:t>第二批</w:t>
      </w:r>
      <w:r>
        <w:rPr>
          <w:rFonts w:hint="eastAsia" w:ascii="宋体" w:hAnsi="宋体" w:eastAsia="宋体" w:cs="宋体"/>
        </w:rPr>
        <w:t>b5、b6、b7、b8、</w:t>
      </w:r>
      <w:r>
        <w:rPr>
          <w:rFonts w:hint="eastAsia" w:ascii="宋体" w:hAnsi="宋体" w:eastAsia="宋体" w:cs="宋体"/>
          <w:lang w:val="en-US" w:eastAsia="zh-CN"/>
        </w:rPr>
        <w:t>第三批</w:t>
      </w:r>
      <w:r>
        <w:rPr>
          <w:rFonts w:hint="eastAsia" w:ascii="宋体" w:hAnsi="宋体" w:eastAsia="宋体" w:cs="宋体"/>
        </w:rPr>
        <w:t>c9、c12</w:t>
      </w:r>
      <w:r>
        <w:rPr>
          <w:rFonts w:hint="eastAsia" w:ascii="宋体" w:hAnsi="宋体" w:eastAsia="宋体" w:cs="宋体"/>
          <w:lang w:val="en-US" w:eastAsia="zh-CN"/>
        </w:rPr>
        <w:t>及第四批</w:t>
      </w:r>
      <w:r>
        <w:rPr>
          <w:rFonts w:hint="eastAsia" w:ascii="宋体" w:hAnsi="宋体" w:eastAsia="宋体" w:cs="宋体"/>
        </w:rPr>
        <w:t>d14、d15、d16完全白化表型，提示 TYR 基因被完全敲除</w:t>
      </w:r>
      <w:r>
        <w:rPr>
          <w:rFonts w:hint="eastAsia" w:ascii="宋体" w:hAnsi="宋体" w:eastAsia="宋体" w:cs="宋体"/>
          <w:lang w:eastAsia="zh-CN"/>
        </w:rPr>
        <w:t>。</w:t>
      </w:r>
    </w:p>
    <w:p>
      <w:pPr>
        <w:keepNext w:val="0"/>
        <w:keepLines w:val="0"/>
        <w:pageBreakBefore w:val="0"/>
        <w:widowControl/>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sz w:val="24"/>
          <w:szCs w:val="24"/>
          <w:lang w:val="en-US" w:eastAsia="zh-CN"/>
        </w:rPr>
      </w:pPr>
    </w:p>
    <w:p>
      <w:pPr>
        <w:pStyle w:val="3"/>
        <w:numPr>
          <w:ilvl w:val="0"/>
          <w:numId w:val="0"/>
        </w:numPr>
        <w:bidi w:val="0"/>
        <w:ind w:left="0" w:leftChars="0" w:firstLine="0" w:firstLineChars="0"/>
        <w:rPr>
          <w:rFonts w:hint="eastAsia" w:ascii="宋体" w:hAnsi="宋体" w:cs="宋体"/>
          <w:sz w:val="24"/>
          <w:szCs w:val="24"/>
        </w:rPr>
      </w:pPr>
      <w:r>
        <w:rPr>
          <w:rFonts w:hint="eastAsia" w:ascii="宋体" w:hAnsi="宋体" w:cs="宋体"/>
          <w:b/>
          <w:bCs/>
          <w:kern w:val="2"/>
          <w:sz w:val="24"/>
          <w:szCs w:val="24"/>
          <w:lang w:val="en-US" w:eastAsia="zh-CN" w:bidi="ar-SA"/>
        </w:rPr>
        <w:t>五</w:t>
      </w:r>
      <w:r>
        <w:rPr>
          <w:rFonts w:hint="eastAsia" w:ascii="宋体" w:hAnsi="宋体" w:eastAsia="宋体" w:cs="宋体"/>
          <w:b/>
          <w:bCs/>
          <w:kern w:val="2"/>
          <w:sz w:val="24"/>
          <w:szCs w:val="24"/>
          <w:lang w:val="en-US" w:eastAsia="zh-CN" w:bidi="ar-SA"/>
        </w:rPr>
        <w:t>、</w:t>
      </w:r>
      <w:r>
        <w:rPr>
          <w:rFonts w:hint="eastAsia" w:ascii="宋体" w:hAnsi="宋体" w:cs="宋体"/>
          <w:sz w:val="24"/>
          <w:szCs w:val="24"/>
        </w:rPr>
        <w:t>动物模型的</w:t>
      </w:r>
      <w:r>
        <w:rPr>
          <w:rFonts w:hint="eastAsia" w:ascii="宋体" w:hAnsi="宋体" w:cs="宋体"/>
          <w:sz w:val="24"/>
          <w:szCs w:val="24"/>
          <w:lang w:val="en-US" w:eastAsia="zh-CN"/>
        </w:rPr>
        <w:t>生物</w:t>
      </w:r>
      <w:r>
        <w:rPr>
          <w:rFonts w:hint="eastAsia" w:ascii="宋体" w:hAnsi="宋体" w:cs="宋体"/>
          <w:sz w:val="24"/>
          <w:szCs w:val="24"/>
        </w:rPr>
        <w:t>安全性评价</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酪氨酸酶基因敲除白化西藏小型猪是通过CRISPR/Cas9基因编辑技术敲除</w:t>
      </w:r>
      <w:r>
        <w:rPr>
          <w:rFonts w:hint="eastAsia" w:ascii="宋体" w:hAnsi="宋体" w:eastAsia="宋体" w:cs="宋体"/>
          <w:i/>
          <w:iCs/>
          <w:sz w:val="24"/>
          <w:szCs w:val="24"/>
          <w:lang w:val="en-US" w:eastAsia="zh-CN"/>
        </w:rPr>
        <w:t>TYR</w:t>
      </w:r>
      <w:r>
        <w:rPr>
          <w:rFonts w:hint="eastAsia" w:ascii="宋体" w:hAnsi="宋体" w:eastAsia="宋体" w:cs="宋体"/>
          <w:sz w:val="24"/>
          <w:szCs w:val="24"/>
          <w:lang w:val="en-US" w:eastAsia="zh-CN"/>
        </w:rPr>
        <w:t>基因而获得的，没有插入任何外源基因，为非转基因动物。获得的白化西藏小型猪由于是通过受精卵胞质注射法而制备的，不携带异种品系猪的线粒体DNA——母系遗传物质，能保持品系的纯正。所用的受精卵均通过手术体内冲卵获得，没有到屠宰场采集卵巢和卵母细胞，生物安全可控。</w:t>
      </w:r>
      <w:r>
        <w:rPr>
          <w:rFonts w:hint="eastAsia" w:ascii="宋体" w:hAnsi="宋体" w:eastAsia="宋体" w:cs="宋体"/>
          <w:i/>
          <w:caps/>
          <w:smallCaps w:val="0"/>
          <w:sz w:val="24"/>
          <w:szCs w:val="24"/>
          <w:lang w:val="en-US" w:eastAsia="zh-CN"/>
        </w:rPr>
        <w:t>TYR</w:t>
      </w:r>
      <w:r>
        <w:rPr>
          <w:rFonts w:hint="eastAsia" w:ascii="宋体" w:hAnsi="宋体" w:eastAsia="宋体" w:cs="宋体"/>
          <w:sz w:val="24"/>
          <w:szCs w:val="24"/>
          <w:lang w:val="en-US" w:eastAsia="zh-CN"/>
        </w:rPr>
        <w:t>突变引起的白化为隐性性状，可通过白化藏猪之间交配繁殖保种，得到的后代均为白化，能稳定遗传。白化藏猪在普通实验饲养环境能正常繁殖存活，但在野外环境会受到长时间太阳紫外线照射而引起皮肤损伤，且没有原有保护色容易被天敌发现和捕杀，野生条件下不易存活，生物安全性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饲养环境的生物安全评价，饲养室应具备良好的通风、温度控制、湿度调节和光照条件，以提供适宜的生活环境。此外，饲养室内定期清洁和消毒，保持环境的卫生。同时，应避免饲养密度过高，以减少疾病传播的风险。上述饲养条件均符合GB14925-2010标准中实验猪实验动物生产设施普通环境技术指标要求。（见附件1：普通级环境检测报告。）</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饲料和水源生物安全控制，</w:t>
      </w:r>
      <w:r>
        <w:rPr>
          <w:rFonts w:hint="eastAsia" w:ascii="宋体" w:hAnsi="宋体" w:eastAsia="宋体" w:cs="宋体"/>
          <w:sz w:val="24"/>
          <w:szCs w:val="24"/>
          <w:lang w:val="en-US" w:eastAsia="zh-CN"/>
        </w:rPr>
        <w:t>实验动物的饲料和水源也是生物安全控制的重要环节。本动物模型中的饲料来源于可靠渠道，经过严格检查，确保不含有害物质和病原体。饮水为市政自来水过滤，确保水质的安全。根据管理SOP，定期进行饲料和饮水的检测，结果均符合标准。见附件2：饲料和饮水检测报告；</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b w:val="0"/>
          <w:bCs w:val="0"/>
          <w:sz w:val="24"/>
          <w:szCs w:val="24"/>
          <w:lang w:val="en-US" w:eastAsia="zh-CN"/>
        </w:rPr>
        <w:t>病原体监测与预防，</w:t>
      </w:r>
      <w:r>
        <w:rPr>
          <w:rFonts w:hint="eastAsia" w:ascii="宋体" w:hAnsi="宋体" w:eastAsia="宋体" w:cs="宋体"/>
          <w:sz w:val="24"/>
          <w:szCs w:val="24"/>
          <w:lang w:val="en-US" w:eastAsia="zh-CN"/>
        </w:rPr>
        <w:t>为了及时发现和控制病原体，应定期对实验动物进行健康检查，监测其生理状态和行为变化。同时，若发现病原体感染时，应立即采取隔离、治疗或淘汰等措施，防止疾病的扩散。目前，本模型动物尚未发生重大传染性疾病，定期检测报告见附件3：小型猪质量检测报告。</w:t>
      </w:r>
    </w:p>
    <w:p>
      <w:pPr>
        <w:keepNext w:val="0"/>
        <w:keepLines w:val="0"/>
        <w:pageBreakBefore w:val="0"/>
        <w:widowControl/>
        <w:numPr>
          <w:numId w:val="0"/>
        </w:numPr>
        <w:kinsoku/>
        <w:wordWrap/>
        <w:overflowPunct/>
        <w:topLinePunct w:val="0"/>
        <w:autoSpaceDE/>
        <w:autoSpaceDN/>
        <w:bidi w:val="0"/>
        <w:adjustRightInd w:val="0"/>
        <w:snapToGrid w:val="0"/>
        <w:spacing w:line="360" w:lineRule="auto"/>
        <w:ind w:firstLine="480" w:firstLineChars="200"/>
        <w:jc w:val="left"/>
        <w:textAlignment w:val="auto"/>
        <w:rPr>
          <w:rFonts w:hint="default" w:ascii="宋体" w:hAnsi="宋体" w:eastAsia="宋体" w:cs="宋体"/>
          <w:b/>
          <w:bCs/>
          <w:sz w:val="24"/>
          <w:szCs w:val="24"/>
          <w:highlight w:val="green"/>
          <w:lang w:val="en-US" w:eastAsia="zh-CN"/>
        </w:rPr>
      </w:pPr>
      <w:r>
        <w:rPr>
          <w:rFonts w:hint="eastAsia" w:ascii="宋体" w:hAnsi="宋体" w:eastAsia="宋体" w:cs="宋体"/>
          <w:b w:val="0"/>
          <w:bCs w:val="0"/>
          <w:sz w:val="24"/>
          <w:szCs w:val="24"/>
          <w:lang w:val="en-US" w:eastAsia="zh-CN"/>
        </w:rPr>
        <w:t>人员培训与生物安全操作规范，</w:t>
      </w:r>
      <w:r>
        <w:rPr>
          <w:rFonts w:hint="eastAsia" w:ascii="宋体" w:hAnsi="宋体" w:eastAsia="宋体" w:cs="宋体"/>
          <w:sz w:val="24"/>
          <w:szCs w:val="24"/>
          <w:lang w:val="en-US" w:eastAsia="zh-CN"/>
        </w:rPr>
        <w:t>实验动物生物安全控制需要依靠专业的实验人员来执行。因此，我们所有的实验人员都定期进行系统的培训，使其了解生物安全知识、掌握操作规范至关重要。实验人员遵守严格的个人卫生习惯，穿戴合适的防护服和手套，避免与实验动物直接接触。在进行实验操作时，应遵循标准化的操作流程，减少误操作和交叉污染的风险。实验动物产生的废弃物如粪便、尸体等可能携带病原体，因此需妥善处理。废弃物应分类收集，按照相关规定进行无害化处理或焚烧。同时，饲养室和实验设备的清洁和消毒也是关键措施。消毒剂定期更换，定期对饲养室、笼具、饮水器等进行消毒，以杀灭可能存在的病原体。废弃物处理合同及记录见附件4。</w:t>
      </w:r>
    </w:p>
    <w:p>
      <w:pPr>
        <w:pStyle w:val="3"/>
        <w:bidi w:val="0"/>
        <w:rPr>
          <w:rFonts w:hint="eastAsia" w:ascii="宋体" w:hAnsi="宋体" w:cs="宋体"/>
          <w:sz w:val="24"/>
          <w:szCs w:val="24"/>
          <w:lang w:val="en-US" w:eastAsia="zh-CN"/>
        </w:rPr>
      </w:pPr>
      <w:r>
        <w:rPr>
          <w:rFonts w:hint="eastAsia" w:ascii="宋体" w:hAnsi="宋体" w:cs="宋体"/>
          <w:sz w:val="24"/>
          <w:szCs w:val="24"/>
          <w:lang w:val="en-US" w:eastAsia="zh-CN"/>
        </w:rPr>
        <w:t>六</w:t>
      </w:r>
      <w:r>
        <w:rPr>
          <w:rFonts w:hint="eastAsia" w:ascii="宋体" w:hAnsi="宋体" w:cs="宋体"/>
          <w:sz w:val="24"/>
          <w:szCs w:val="24"/>
          <w:lang w:val="en-US" w:eastAsia="zh-CN"/>
        </w:rPr>
        <w:t>、讨论和结论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kern w:val="2"/>
          <w:sz w:val="24"/>
          <w:szCs w:val="24"/>
          <w:highlight w:val="none"/>
          <w:vertAlign w:val="baseline"/>
          <w:lang w:val="en-US" w:eastAsia="zh-CN" w:bidi="ar-SA"/>
        </w:rPr>
      </w:pPr>
      <w:r>
        <w:rPr>
          <w:rFonts w:hint="eastAsia" w:ascii="宋体" w:hAnsi="宋体" w:eastAsia="宋体" w:cs="宋体"/>
          <w:b w:val="0"/>
          <w:bCs w:val="0"/>
          <w:kern w:val="2"/>
          <w:sz w:val="24"/>
          <w:szCs w:val="24"/>
          <w:highlight w:val="none"/>
          <w:lang w:val="en-US" w:eastAsia="zh-CN" w:bidi="ar-SA"/>
        </w:rPr>
        <w:t>常用的实验动物一般都有对应的白变种品系，如BALB/c小鼠、SD大鼠、白化豚鼠、新西兰大白兔等，能满足特定实验需求。为了更好地使西藏小型猪满足科研实验需求，本单位通利用CRISPR/Cas9受精卵注射法高效获得了</w:t>
      </w:r>
      <w:r>
        <w:rPr>
          <w:rFonts w:hint="eastAsia" w:ascii="宋体" w:hAnsi="宋体" w:eastAsia="宋体" w:cs="宋体"/>
          <w:b w:val="0"/>
          <w:bCs w:val="0"/>
          <w:i/>
          <w:caps/>
          <w:smallCaps w:val="0"/>
          <w:kern w:val="2"/>
          <w:sz w:val="24"/>
          <w:szCs w:val="24"/>
          <w:highlight w:val="none"/>
          <w:lang w:val="en-US" w:eastAsia="zh-CN" w:bidi="ar-SA"/>
        </w:rPr>
        <w:t>TYR</w:t>
      </w:r>
      <w:r>
        <w:rPr>
          <w:rFonts w:hint="eastAsia" w:ascii="宋体" w:hAnsi="宋体" w:eastAsia="宋体" w:cs="宋体"/>
          <w:b w:val="0"/>
          <w:bCs w:val="0"/>
          <w:kern w:val="2"/>
          <w:sz w:val="24"/>
          <w:szCs w:val="24"/>
          <w:highlight w:val="none"/>
          <w:lang w:val="en-US" w:eastAsia="zh-CN" w:bidi="ar-SA"/>
        </w:rPr>
        <w:t>基因敲除白化西藏小型猪。该方法可有效避免了体细胞核移植法所引起的胚胎发育延迟、出生后存活率低、同一细胞克隆株所获得的性别单一等问题。此外，受精卵由胞质内注射法所获得的F</w:t>
      </w:r>
      <w:r>
        <w:rPr>
          <w:rFonts w:hint="eastAsia" w:ascii="宋体" w:hAnsi="宋体" w:eastAsia="宋体" w:cs="宋体"/>
          <w:b w:val="0"/>
          <w:bCs w:val="0"/>
          <w:kern w:val="2"/>
          <w:sz w:val="24"/>
          <w:szCs w:val="24"/>
          <w:highlight w:val="none"/>
          <w:vertAlign w:val="subscript"/>
          <w:lang w:val="en-US" w:eastAsia="zh-CN" w:bidi="ar-SA"/>
        </w:rPr>
        <w:t>0</w:t>
      </w:r>
      <w:r>
        <w:rPr>
          <w:rFonts w:hint="eastAsia" w:ascii="宋体" w:hAnsi="宋体" w:eastAsia="宋体" w:cs="宋体"/>
          <w:b w:val="0"/>
          <w:bCs w:val="0"/>
          <w:kern w:val="2"/>
          <w:sz w:val="24"/>
          <w:szCs w:val="24"/>
          <w:highlight w:val="none"/>
          <w:lang w:val="en-US" w:eastAsia="zh-CN" w:bidi="ar-SA"/>
        </w:rPr>
        <w:t>代并不携带外源猪种的线粒体DNA，很好地保留了西藏小型猪的其他特性。外观上看，白化西藏小型猪和普通西藏小型猪，除了眼睛和皮毛发颜色不一样外，其他无太大差别。</w:t>
      </w:r>
      <w:r>
        <w:rPr>
          <w:rFonts w:hint="eastAsia" w:ascii="宋体" w:hAnsi="宋体" w:eastAsia="宋体" w:cs="宋体"/>
          <w:b w:val="0"/>
          <w:bCs w:val="0"/>
          <w:i/>
          <w:caps/>
          <w:smallCaps w:val="0"/>
          <w:kern w:val="2"/>
          <w:sz w:val="24"/>
          <w:szCs w:val="24"/>
          <w:highlight w:val="none"/>
          <w:lang w:val="en-US" w:eastAsia="zh-CN" w:bidi="ar-SA"/>
        </w:rPr>
        <w:t>TYR</w:t>
      </w:r>
      <w:r>
        <w:rPr>
          <w:rFonts w:hint="eastAsia" w:ascii="宋体" w:hAnsi="宋体" w:eastAsia="宋体" w:cs="宋体"/>
          <w:b w:val="0"/>
          <w:bCs w:val="0"/>
          <w:kern w:val="2"/>
          <w:sz w:val="24"/>
          <w:szCs w:val="24"/>
          <w:highlight w:val="none"/>
          <w:lang w:val="en-US" w:eastAsia="zh-CN" w:bidi="ar-SA"/>
        </w:rPr>
        <w:t>基因敲除西藏小型猪，因黑色素合成障碍，导致全身皮肤和毛发呈白色，眼睛呈红色，呈典型的白化症状。与野生型西藏小型猪相比，白化西藏小型猪的耳缘静脉更加清晰，利于实验时静脉注射给药。白化西藏小型猪的皮肤在进行炎症和损伤观察时更加清晰，且还可很方便地在其皮肤或毛发上做标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由于白化病为隐性遗传病，白化个体并不携带野生型</w:t>
      </w:r>
      <w:r>
        <w:rPr>
          <w:rFonts w:hint="eastAsia" w:ascii="宋体" w:hAnsi="宋体" w:eastAsia="宋体" w:cs="宋体"/>
          <w:b w:val="0"/>
          <w:bCs w:val="0"/>
          <w:i/>
          <w:caps/>
          <w:smallCaps w:val="0"/>
          <w:kern w:val="2"/>
          <w:sz w:val="24"/>
          <w:szCs w:val="24"/>
          <w:highlight w:val="none"/>
          <w:lang w:val="en-US" w:eastAsia="zh-CN" w:bidi="ar-SA"/>
        </w:rPr>
        <w:t>TYR</w:t>
      </w:r>
      <w:r>
        <w:rPr>
          <w:rFonts w:hint="eastAsia" w:ascii="宋体" w:hAnsi="宋体" w:eastAsia="宋体" w:cs="宋体"/>
          <w:b w:val="0"/>
          <w:bCs w:val="0"/>
          <w:kern w:val="2"/>
          <w:sz w:val="24"/>
          <w:szCs w:val="24"/>
          <w:highlight w:val="none"/>
          <w:lang w:val="en-US" w:eastAsia="zh-CN" w:bidi="ar-SA"/>
        </w:rPr>
        <w:t>等位基因，白化个体间交配繁殖只能生出白化个体，育种相对方便。白化突变动物通常在野生自然环境下会因长期受到太阳紫外线照射引起损伤或癌变，而容易被自然选择淘汰。为了验证</w:t>
      </w:r>
      <w:r>
        <w:rPr>
          <w:rFonts w:hint="eastAsia" w:ascii="宋体" w:hAnsi="宋体" w:eastAsia="宋体" w:cs="宋体"/>
          <w:b w:val="0"/>
          <w:bCs w:val="0"/>
          <w:i/>
          <w:caps/>
          <w:smallCaps w:val="0"/>
          <w:kern w:val="2"/>
          <w:sz w:val="24"/>
          <w:szCs w:val="24"/>
          <w:highlight w:val="none"/>
          <w:lang w:val="en-US" w:eastAsia="zh-CN" w:bidi="ar-SA"/>
        </w:rPr>
        <w:t>TYR</w:t>
      </w:r>
      <w:r>
        <w:rPr>
          <w:rFonts w:hint="eastAsia" w:ascii="宋体" w:hAnsi="宋体" w:eastAsia="宋体" w:cs="宋体"/>
          <w:b w:val="0"/>
          <w:bCs w:val="0"/>
          <w:kern w:val="2"/>
          <w:sz w:val="24"/>
          <w:szCs w:val="24"/>
          <w:highlight w:val="none"/>
          <w:lang w:val="en-US" w:eastAsia="zh-CN" w:bidi="ar-SA"/>
        </w:rPr>
        <w:t>基因敲除白化西藏小型猪是否适合培育成实验用小型猪新品系，我们对其一些常用指标进行了检测。目前已通过</w:t>
      </w:r>
      <w:r>
        <w:rPr>
          <w:rFonts w:hint="eastAsia" w:ascii="宋体" w:hAnsi="宋体" w:eastAsia="宋体" w:cs="宋体"/>
          <w:b w:val="0"/>
          <w:bCs w:val="0"/>
          <w:i/>
          <w:caps/>
          <w:smallCaps w:val="0"/>
          <w:kern w:val="2"/>
          <w:sz w:val="24"/>
          <w:szCs w:val="24"/>
          <w:highlight w:val="none"/>
          <w:lang w:val="en-US" w:eastAsia="zh-CN" w:bidi="ar-SA"/>
        </w:rPr>
        <w:t>TYR</w:t>
      </w:r>
      <w:r>
        <w:rPr>
          <w:rFonts w:hint="eastAsia" w:ascii="宋体" w:hAnsi="宋体" w:eastAsia="宋体" w:cs="宋体"/>
          <w:b w:val="0"/>
          <w:bCs w:val="0"/>
          <w:kern w:val="2"/>
          <w:sz w:val="24"/>
          <w:szCs w:val="24"/>
          <w:highlight w:val="none"/>
          <w:lang w:val="en-US" w:eastAsia="zh-CN" w:bidi="ar-SA"/>
        </w:rPr>
        <w:t>敲除的F0代间交配繁殖目前已获得了F1代、F2代、F3代</w:t>
      </w:r>
      <w:r>
        <w:rPr>
          <w:rFonts w:hint="eastAsia" w:ascii="宋体" w:hAnsi="宋体" w:eastAsia="宋体" w:cs="宋体"/>
          <w:b w:val="0"/>
          <w:bCs w:val="0"/>
          <w:i/>
          <w:caps/>
          <w:smallCaps w:val="0"/>
          <w:kern w:val="2"/>
          <w:sz w:val="24"/>
          <w:szCs w:val="24"/>
          <w:highlight w:val="none"/>
          <w:lang w:val="en-US" w:eastAsia="zh-CN" w:bidi="ar-SA"/>
        </w:rPr>
        <w:t>TYR</w:t>
      </w:r>
      <w:r>
        <w:rPr>
          <w:rFonts w:hint="eastAsia" w:ascii="宋体" w:hAnsi="宋体" w:eastAsia="宋体" w:cs="宋体"/>
          <w:b w:val="0"/>
          <w:bCs w:val="0"/>
          <w:kern w:val="2"/>
          <w:sz w:val="24"/>
          <w:szCs w:val="24"/>
          <w:highlight w:val="none"/>
          <w:lang w:val="en-US" w:eastAsia="zh-CN" w:bidi="ar-SA"/>
        </w:rPr>
        <w:t>基因敲除白化西藏小型猪。</w:t>
      </w:r>
    </w:p>
    <w:p>
      <w:pPr>
        <w:keepNext w:val="0"/>
        <w:keepLines w:val="0"/>
        <w:pageBreakBefore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白化西藏小型猪与普通西藏小型猪的各体尺指标之间无明显差异，表明了白化西藏小型猪与同龄的普通西藏小型猪的体型相近，二者的生长发育速度保持一致。同时也表明了白化西藏小型猪在普通饲养环境能正常生长发育。通过分析和比较白化西藏小型猪与普通西藏小型猪的繁殖性能指标，发现它们的繁殖性能相似，说明白化小型猪在普通饲养环境下能正常繁殖，不受</w:t>
      </w:r>
      <w:r>
        <w:rPr>
          <w:rFonts w:hint="eastAsia" w:ascii="宋体" w:hAnsi="宋体" w:eastAsia="宋体" w:cs="宋体"/>
          <w:i/>
          <w:caps/>
          <w:smallCaps w:val="0"/>
          <w:sz w:val="24"/>
          <w:szCs w:val="24"/>
          <w:lang w:eastAsia="zh-CN"/>
        </w:rPr>
        <w:t>TYR</w:t>
      </w:r>
      <w:r>
        <w:rPr>
          <w:rFonts w:hint="eastAsia" w:ascii="宋体" w:hAnsi="宋体" w:eastAsia="宋体" w:cs="宋体"/>
          <w:sz w:val="24"/>
          <w:szCs w:val="24"/>
        </w:rPr>
        <w:t>基因失活的影响。</w:t>
      </w:r>
    </w:p>
    <w:p>
      <w:pPr>
        <w:keepNext w:val="0"/>
        <w:keepLines w:val="0"/>
        <w:pageBreakBefore w:val="0"/>
        <w:kinsoku/>
        <w:wordWrap/>
        <w:overflowPunct/>
        <w:topLinePunct w:val="0"/>
        <w:autoSpaceDE/>
        <w:autoSpaceDN/>
        <w:bidi w:val="0"/>
        <w:adjustRightInd w:val="0"/>
        <w:snapToGrid w:val="0"/>
        <w:spacing w:line="360" w:lineRule="auto"/>
        <w:ind w:firstLine="480"/>
        <w:jc w:val="left"/>
        <w:textAlignment w:val="auto"/>
        <w:rPr>
          <w:rFonts w:hint="eastAsia" w:ascii="宋体" w:hAnsi="宋体" w:eastAsia="宋体" w:cs="宋体"/>
          <w:sz w:val="24"/>
          <w:szCs w:val="24"/>
        </w:rPr>
      </w:pPr>
      <w:r>
        <w:rPr>
          <w:rFonts w:hint="eastAsia" w:ascii="宋体" w:hAnsi="宋体" w:eastAsia="宋体" w:cs="宋体"/>
          <w:sz w:val="24"/>
          <w:szCs w:val="24"/>
        </w:rPr>
        <w:t>初步统计，发现白化西藏小型猪的血液生理指标与普通西藏小型猪的血液生理指标绝大部分无统计学差异。不过白化西藏小型猪的MCHC略高于普通西藏小型猪的MCHC。但由于动物的血液生理学指标也会因年龄、性别、营养状况、生理状态等而有所差异的。总体来说，白化西藏小型猪的血液生理指标与普通西藏小型猪的血液生理指标基本一致。</w:t>
      </w:r>
    </w:p>
    <w:p>
      <w:pPr>
        <w:keepNext w:val="0"/>
        <w:keepLines w:val="0"/>
        <w:pageBreakBefore w:val="0"/>
        <w:widowControl/>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sz w:val="24"/>
          <w:szCs w:val="24"/>
          <w:highlight w:val="yellow"/>
        </w:rPr>
      </w:pPr>
      <w:r>
        <w:rPr>
          <w:rFonts w:hint="eastAsia" w:ascii="宋体" w:hAnsi="宋体" w:eastAsia="宋体" w:cs="宋体"/>
          <w:sz w:val="24"/>
          <w:szCs w:val="24"/>
        </w:rPr>
        <w:t>实验结果表明，</w:t>
      </w:r>
      <w:r>
        <w:rPr>
          <w:rFonts w:hint="eastAsia" w:ascii="宋体" w:hAnsi="宋体" w:eastAsia="宋体" w:cs="宋体"/>
          <w:i/>
          <w:caps/>
          <w:smallCaps w:val="0"/>
          <w:sz w:val="24"/>
          <w:szCs w:val="24"/>
          <w:lang w:eastAsia="zh-CN"/>
        </w:rPr>
        <w:t>TYR</w:t>
      </w:r>
      <w:r>
        <w:rPr>
          <w:rFonts w:hint="eastAsia" w:ascii="宋体" w:hAnsi="宋体" w:eastAsia="宋体" w:cs="宋体"/>
          <w:sz w:val="24"/>
          <w:szCs w:val="24"/>
        </w:rPr>
        <w:t>基因功能失活的白化西藏小型猪，除了皮毛和眼睛颜色与普通正常西藏小型猪不一样外，各项体尺指标、繁殖性能指标、血液生理和生化指标等与普通西藏小型猪的对应指标基本保持一致。</w:t>
      </w:r>
      <w:r>
        <w:rPr>
          <w:rFonts w:hint="eastAsia" w:ascii="宋体" w:hAnsi="宋体" w:eastAsia="宋体" w:cs="宋体"/>
          <w:i/>
          <w:caps/>
          <w:smallCaps w:val="0"/>
          <w:sz w:val="24"/>
          <w:szCs w:val="24"/>
          <w:lang w:val="en-US" w:eastAsia="zh-CN"/>
        </w:rPr>
        <w:t>TYR</w:t>
      </w:r>
      <w:r>
        <w:rPr>
          <w:rFonts w:hint="eastAsia" w:ascii="宋体" w:hAnsi="宋体" w:eastAsia="宋体" w:cs="宋体"/>
          <w:sz w:val="24"/>
          <w:szCs w:val="24"/>
          <w:lang w:val="en-US" w:eastAsia="zh-CN"/>
        </w:rPr>
        <w:t>基因敲除</w:t>
      </w:r>
      <w:r>
        <w:rPr>
          <w:rFonts w:hint="eastAsia" w:ascii="宋体" w:hAnsi="宋体" w:eastAsia="宋体" w:cs="宋体"/>
          <w:sz w:val="24"/>
          <w:szCs w:val="24"/>
        </w:rPr>
        <w:t>白化西藏小型猪能在普通</w:t>
      </w:r>
      <w:r>
        <w:rPr>
          <w:rFonts w:hint="eastAsia" w:ascii="宋体" w:hAnsi="宋体" w:eastAsia="宋体" w:cs="宋体"/>
          <w:sz w:val="24"/>
          <w:szCs w:val="24"/>
          <w:lang w:val="en-US" w:eastAsia="zh-CN"/>
        </w:rPr>
        <w:t>级动物</w:t>
      </w:r>
      <w:r>
        <w:rPr>
          <w:rFonts w:hint="eastAsia" w:ascii="宋体" w:hAnsi="宋体" w:eastAsia="宋体" w:cs="宋体"/>
          <w:sz w:val="24"/>
          <w:szCs w:val="24"/>
        </w:rPr>
        <w:t>饲养环境下很好地存活</w:t>
      </w:r>
      <w:r>
        <w:rPr>
          <w:rFonts w:hint="eastAsia" w:ascii="宋体" w:hAnsi="宋体" w:eastAsia="宋体" w:cs="宋体"/>
          <w:sz w:val="24"/>
          <w:szCs w:val="24"/>
          <w:lang w:val="en-US" w:eastAsia="zh-CN"/>
        </w:rPr>
        <w:t>和繁殖</w:t>
      </w:r>
      <w:r>
        <w:rPr>
          <w:rFonts w:hint="eastAsia" w:ascii="宋体" w:hAnsi="宋体" w:eastAsia="宋体" w:cs="宋体"/>
          <w:sz w:val="24"/>
          <w:szCs w:val="24"/>
        </w:rPr>
        <w:t>。</w:t>
      </w:r>
      <w:r>
        <w:rPr>
          <w:rFonts w:hint="eastAsia" w:ascii="宋体" w:hAnsi="宋体" w:eastAsia="宋体" w:cs="宋体"/>
          <w:sz w:val="24"/>
          <w:szCs w:val="24"/>
          <w:lang w:val="en-US" w:eastAsia="zh-CN"/>
        </w:rPr>
        <w:t>白化西藏小型猪由于皮肤和毛发白色，更利于耳缘静脉给药和皮肤实验的观察。此外也可作为白化病大动物模型进一步研究。我们</w:t>
      </w:r>
      <w:r>
        <w:rPr>
          <w:rFonts w:hint="eastAsia" w:ascii="宋体" w:hAnsi="宋体" w:eastAsia="宋体" w:cs="宋体"/>
          <w:sz w:val="24"/>
          <w:szCs w:val="24"/>
        </w:rPr>
        <w:t>认为</w:t>
      </w:r>
      <w:r>
        <w:rPr>
          <w:rFonts w:hint="eastAsia" w:ascii="宋体" w:hAnsi="宋体" w:eastAsia="宋体" w:cs="宋体"/>
          <w:i/>
          <w:caps/>
          <w:smallCaps w:val="0"/>
          <w:sz w:val="24"/>
          <w:szCs w:val="24"/>
          <w:lang w:val="en-US" w:eastAsia="zh-CN"/>
        </w:rPr>
        <w:t>TYR</w:t>
      </w:r>
      <w:r>
        <w:rPr>
          <w:rFonts w:hint="eastAsia" w:ascii="宋体" w:hAnsi="宋体" w:eastAsia="宋体" w:cs="宋体"/>
          <w:sz w:val="24"/>
          <w:szCs w:val="24"/>
          <w:lang w:val="en-US" w:eastAsia="zh-CN"/>
        </w:rPr>
        <w:t>基因敲除</w:t>
      </w:r>
      <w:r>
        <w:rPr>
          <w:rFonts w:hint="eastAsia" w:ascii="宋体" w:hAnsi="宋体" w:eastAsia="宋体" w:cs="宋体"/>
          <w:sz w:val="24"/>
          <w:szCs w:val="24"/>
        </w:rPr>
        <w:t>白化西藏小型猪</w:t>
      </w:r>
      <w:r>
        <w:rPr>
          <w:rFonts w:hint="eastAsia" w:ascii="宋体" w:hAnsi="宋体" w:eastAsia="宋体" w:cs="宋体"/>
          <w:sz w:val="24"/>
          <w:szCs w:val="24"/>
          <w:lang w:val="en-US" w:eastAsia="zh-CN"/>
        </w:rPr>
        <w:t>适合用作</w:t>
      </w:r>
      <w:r>
        <w:rPr>
          <w:rFonts w:hint="eastAsia" w:ascii="宋体" w:hAnsi="宋体" w:eastAsia="宋体" w:cs="宋体"/>
          <w:sz w:val="24"/>
          <w:szCs w:val="24"/>
        </w:rPr>
        <w:t>实验小型猪新品系，</w:t>
      </w:r>
      <w:r>
        <w:rPr>
          <w:rFonts w:hint="eastAsia" w:ascii="宋体" w:hAnsi="宋体" w:eastAsia="宋体" w:cs="宋体"/>
          <w:sz w:val="24"/>
          <w:szCs w:val="24"/>
          <w:lang w:val="en-US" w:eastAsia="zh-CN"/>
        </w:rPr>
        <w:t>满足</w:t>
      </w:r>
      <w:r>
        <w:rPr>
          <w:rFonts w:hint="eastAsia" w:ascii="宋体" w:hAnsi="宋体" w:eastAsia="宋体" w:cs="宋体"/>
          <w:sz w:val="24"/>
          <w:szCs w:val="24"/>
        </w:rPr>
        <w:t>科研实验</w:t>
      </w:r>
      <w:r>
        <w:rPr>
          <w:rFonts w:hint="eastAsia" w:ascii="宋体" w:hAnsi="宋体" w:eastAsia="宋体" w:cs="宋体"/>
          <w:sz w:val="24"/>
          <w:szCs w:val="24"/>
          <w:lang w:val="en-US" w:eastAsia="zh-CN"/>
        </w:rPr>
        <w:t>需求</w:t>
      </w:r>
      <w:r>
        <w:rPr>
          <w:rFonts w:hint="eastAsia" w:ascii="宋体" w:hAnsi="宋体" w:eastAsia="宋体" w:cs="宋体"/>
          <w:sz w:val="24"/>
          <w:szCs w:val="24"/>
        </w:rPr>
        <w:t>。</w:t>
      </w:r>
    </w:p>
    <w:p>
      <w:pPr>
        <w:spacing w:beforeLines="0" w:afterLines="0"/>
        <w:jc w:val="left"/>
        <w:rPr>
          <w:rFonts w:hint="eastAsia" w:ascii="宋体" w:hAnsi="宋体" w:eastAsia="宋体" w:cs="宋体"/>
          <w:sz w:val="24"/>
          <w:szCs w:val="24"/>
        </w:rPr>
      </w:pPr>
    </w:p>
    <w:p>
      <w:pPr>
        <w:spacing w:beforeLines="0" w:afterLines="0"/>
        <w:jc w:val="left"/>
        <w:rPr>
          <w:rFonts w:hint="eastAsia" w:ascii="宋体" w:hAnsi="宋体" w:eastAsia="宋体" w:cs="宋体"/>
          <w:sz w:val="24"/>
          <w:szCs w:val="24"/>
        </w:rPr>
      </w:pPr>
    </w:p>
    <w:p>
      <w:pPr>
        <w:spacing w:beforeLines="0" w:afterLines="0"/>
        <w:jc w:val="left"/>
        <w:rPr>
          <w:rFonts w:hint="eastAsia" w:ascii="宋体" w:hAnsi="宋体" w:eastAsia="宋体" w:cs="宋体"/>
          <w:sz w:val="24"/>
          <w:szCs w:val="24"/>
        </w:rPr>
      </w:pPr>
    </w:p>
    <w:p>
      <w:pPr>
        <w:spacing w:beforeLines="0" w:afterLines="0"/>
        <w:rPr>
          <w:rFonts w:hint="default" w:ascii="Times New Roman" w:hAnsi="Times New Roman" w:cs="Times New Roman"/>
          <w:sz w:val="21"/>
          <w:szCs w:val="21"/>
        </w:rPr>
      </w:pPr>
      <w:r>
        <w:rPr>
          <w:rFonts w:hint="eastAsia" w:ascii="宋体" w:hAnsi="宋体" w:eastAsia="宋体" w:cs="宋体"/>
          <w:sz w:val="24"/>
          <w:szCs w:val="24"/>
        </w:rPr>
        <w:br w:type="page"/>
      </w:r>
      <w:r>
        <w:rPr>
          <w:rFonts w:hint="default" w:ascii="Times New Roman" w:hAnsi="Times New Roman" w:eastAsia="宋体" w:cs="Times New Roman"/>
          <w:sz w:val="21"/>
          <w:szCs w:val="21"/>
        </w:rPr>
        <w:fldChar w:fldCharType="begin"/>
      </w:r>
      <w:r>
        <w:rPr>
          <w:rFonts w:hint="default" w:ascii="Times New Roman" w:hAnsi="Times New Roman" w:eastAsia="宋体" w:cs="Times New Roman"/>
          <w:sz w:val="21"/>
          <w:szCs w:val="21"/>
          <w:lang w:eastAsia="zh-CN"/>
        </w:rPr>
        <w:instrText xml:space="preserve"> ADDIN NE.Bib</w:instrText>
      </w:r>
      <w:r>
        <w:rPr>
          <w:rFonts w:hint="default" w:ascii="Times New Roman" w:hAnsi="Times New Roman" w:eastAsia="宋体" w:cs="Times New Roman"/>
          <w:sz w:val="21"/>
          <w:szCs w:val="21"/>
        </w:rPr>
        <w:fldChar w:fldCharType="separate"/>
      </w:r>
    </w:p>
    <w:p>
      <w:pPr>
        <w:spacing w:beforeLines="0" w:afterLines="0"/>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参考文献</w:t>
      </w:r>
    </w:p>
    <w:p>
      <w:pPr>
        <w:spacing w:beforeLines="0" w:afterLines="0"/>
        <w:rPr>
          <w:rFonts w:hint="default" w:ascii="Times New Roman" w:hAnsi="Times New Roman" w:cs="Times New Roman"/>
          <w:sz w:val="21"/>
          <w:szCs w:val="21"/>
          <w:lang w:val="en-US" w:eastAsia="zh-CN"/>
        </w:rPr>
      </w:pPr>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 xml:space="preserve">[1] </w:t>
      </w:r>
      <w:bookmarkStart w:id="301" w:name="_nebFC723752_D226_47D7_9EEC_518D1C7078C0"/>
      <w:r>
        <w:rPr>
          <w:rFonts w:hint="default" w:ascii="Times New Roman" w:hAnsi="Times New Roman" w:eastAsia="Times New Roman" w:cs="Times New Roman"/>
          <w:color w:val="000000"/>
          <w:sz w:val="21"/>
          <w:szCs w:val="21"/>
        </w:rPr>
        <w:t>Chen A, Hao L L, Fang X B, et al. Polymorphism analysis of IGFBP-5 gene exon 1 in Tibet Mini-pig and Junmu No. 1 White pig[J]. Genet Mol Res. 2014, 13(1): 1643-1649.</w:t>
      </w:r>
      <w:bookmarkEnd w:id="301"/>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 xml:space="preserve">[2] </w:t>
      </w:r>
      <w:bookmarkStart w:id="302" w:name="_neb4723EB5D_8E2A_4BB3_B2C1_802F344FE154"/>
      <w:r>
        <w:rPr>
          <w:rFonts w:hint="default" w:ascii="Times New Roman" w:hAnsi="Times New Roman" w:eastAsia="Times New Roman" w:cs="Times New Roman"/>
          <w:color w:val="000000"/>
          <w:sz w:val="21"/>
          <w:szCs w:val="21"/>
        </w:rPr>
        <w:t>Lin J, Cao C, Tao C, et al. Cold adaptation in pigs depends on UCP3 in beige adipocytes[J]. J Mol Cell Biol. 2017, 9(5): 364-375.</w:t>
      </w:r>
      <w:bookmarkEnd w:id="302"/>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 xml:space="preserve">[3] </w:t>
      </w:r>
      <w:bookmarkStart w:id="303" w:name="_neb32603710_547E_4139_8F04_806FBCB3CAC8"/>
      <w:r>
        <w:rPr>
          <w:rFonts w:hint="default" w:ascii="Times New Roman" w:hAnsi="Times New Roman" w:eastAsia="Times New Roman" w:cs="Times New Roman"/>
          <w:color w:val="000000"/>
          <w:sz w:val="21"/>
          <w:szCs w:val="21"/>
        </w:rPr>
        <w:t>Li H T, Wu Q H, Yuan J, et al. [Mitochondrial DNA D-loop variation types in Tibet mini-pigs in association with  the blood parameters][J]. Nan Fang Yi Ke Da Xue Xue Bao. 2009, 29(8): 1626-1628.</w:t>
      </w:r>
      <w:bookmarkEnd w:id="303"/>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 xml:space="preserve">[4] </w:t>
      </w:r>
      <w:bookmarkStart w:id="304" w:name="_nebEE2EF9F5_B7A8_4FA0_A0AD_CD71235F13C0"/>
      <w:r>
        <w:rPr>
          <w:rFonts w:hint="default" w:ascii="Times New Roman" w:hAnsi="Times New Roman" w:eastAsia="Times New Roman" w:cs="Times New Roman"/>
          <w:color w:val="000000"/>
          <w:sz w:val="21"/>
          <w:szCs w:val="21"/>
        </w:rPr>
        <w:t>编委会等中国家蓄家禽品种志. 中国猪品种志[M]. 上海科学技术出版社，1986.</w:t>
      </w:r>
      <w:bookmarkEnd w:id="304"/>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 xml:space="preserve">[5] </w:t>
      </w:r>
      <w:bookmarkStart w:id="305" w:name="_neb3107896D_54BE_4B96_BCB7_A546293F4BF8"/>
      <w:r>
        <w:rPr>
          <w:rFonts w:hint="default" w:ascii="Times New Roman" w:hAnsi="Times New Roman" w:eastAsia="Times New Roman" w:cs="Times New Roman"/>
          <w:color w:val="000000"/>
          <w:sz w:val="21"/>
          <w:szCs w:val="21"/>
        </w:rPr>
        <w:t>Li M, Tian S, Jin L, et al. Genomic analyses identify distinct patterns of selection in domesticated pigs and Tibetan wild boars[J]. Nat Genet. 2013, 45(12): 1431-1438.</w:t>
      </w:r>
      <w:bookmarkEnd w:id="305"/>
    </w:p>
    <w:p>
      <w:pPr>
        <w:spacing w:beforeLines="0" w:afterLines="0"/>
        <w:ind w:firstLine="0" w:firstLineChar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 xml:space="preserve">[6] </w:t>
      </w:r>
      <w:bookmarkStart w:id="306" w:name="_neb27185C46_5EFB_4F92_8D7F_6E180D0626C1"/>
      <w:r>
        <w:rPr>
          <w:rFonts w:hint="default" w:ascii="Times New Roman" w:hAnsi="Times New Roman" w:eastAsia="Times New Roman" w:cs="Times New Roman"/>
          <w:color w:val="000000"/>
          <w:sz w:val="21"/>
          <w:szCs w:val="21"/>
        </w:rPr>
        <w:t>李洪涛，吴清洪，肖东，等. 西藏小型猪的线粒体DNA控制区分析[J]. 中国实验动物学报. 2009(03):227-231.</w:t>
      </w:r>
      <w:bookmarkEnd w:id="306"/>
    </w:p>
    <w:p>
      <w:pPr>
        <w:spacing w:beforeLines="0" w:afterLines="0"/>
        <w:ind w:firstLine="0" w:firstLineChar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lang w:val="en-US" w:eastAsia="zh-CN"/>
        </w:rPr>
        <w:t>[7]</w:t>
      </w:r>
      <w:r>
        <w:rPr>
          <w:rFonts w:hint="default" w:ascii="Times New Roman" w:hAnsi="Times New Roman" w:eastAsia="Times New Roman" w:cs="Times New Roman"/>
          <w:color w:val="000000"/>
          <w:sz w:val="21"/>
          <w:szCs w:val="21"/>
        </w:rPr>
        <w:t>Murisier F, Beermann F. Genetics of pigment cells: lessons from the tyrosinase gene family. Histol Histopathol. 2006;21(5):567-578.</w:t>
      </w:r>
    </w:p>
    <w:p>
      <w:pPr>
        <w:spacing w:beforeLines="0" w:afterLines="0"/>
        <w:ind w:firstLine="0" w:firstLineChar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lang w:val="en-US" w:eastAsia="zh-CN"/>
        </w:rPr>
        <w:t>[8]</w:t>
      </w:r>
      <w:r>
        <w:rPr>
          <w:rFonts w:hint="default" w:ascii="Times New Roman" w:hAnsi="Times New Roman" w:eastAsia="Times New Roman" w:cs="Times New Roman"/>
          <w:color w:val="000000"/>
          <w:sz w:val="21"/>
          <w:szCs w:val="21"/>
        </w:rPr>
        <w:t>Seruggia D, Josa S, Fernández A, Montoliu L. The structure and function of the mouse tyrosinase locus. Pigment Cell Melanoma Res. 2021;34(2):212-221.</w:t>
      </w:r>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w:t>
      </w:r>
      <w:r>
        <w:rPr>
          <w:rFonts w:hint="default" w:ascii="Times New Roman" w:hAnsi="Times New Roman" w:eastAsia="Times New Roman" w:cs="Times New Roman"/>
          <w:color w:val="000000"/>
          <w:sz w:val="21"/>
          <w:szCs w:val="21"/>
          <w:lang w:val="en-US" w:eastAsia="zh-CN"/>
        </w:rPr>
        <w:t>9</w:t>
      </w:r>
      <w:r>
        <w:rPr>
          <w:rFonts w:hint="default" w:ascii="Times New Roman" w:hAnsi="Times New Roman" w:eastAsia="Times New Roman" w:cs="Times New Roman"/>
          <w:color w:val="000000"/>
          <w:sz w:val="21"/>
          <w:szCs w:val="21"/>
        </w:rPr>
        <w:t xml:space="preserve">] </w:t>
      </w:r>
      <w:bookmarkStart w:id="307" w:name="_nebA624DDA1_F6BB_488C_ABD2_82302F1A6CD4"/>
      <w:r>
        <w:rPr>
          <w:rFonts w:hint="default" w:ascii="Times New Roman" w:hAnsi="Times New Roman" w:eastAsia="Times New Roman" w:cs="Times New Roman"/>
          <w:color w:val="000000"/>
          <w:sz w:val="21"/>
          <w:szCs w:val="21"/>
        </w:rPr>
        <w:t>Oetting W S, King R A. Molecular basis of albinism: mutations and polymorphisms of pigmentation genes associated with albinism[J]. Hum Mutat. 1999, 13(2): 99-115.</w:t>
      </w:r>
      <w:bookmarkEnd w:id="307"/>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lang w:val="en-US" w:eastAsia="zh-CN"/>
        </w:rPr>
        <w:t>[10]</w:t>
      </w:r>
      <w:r>
        <w:rPr>
          <w:rFonts w:ascii="Times New Roman" w:hAnsi="Times New Roman" w:eastAsia="Times New Roman" w:cs="Times New Roman"/>
          <w:i w:val="0"/>
          <w:iCs w:val="0"/>
          <w:caps w:val="0"/>
          <w:color w:val="000000"/>
          <w:spacing w:val="0"/>
          <w:sz w:val="21"/>
          <w:szCs w:val="21"/>
          <w:shd w:val="clear"/>
        </w:rPr>
        <w:t>Li C, Chen Q, Wu J, et al. Identification and characterization of two novel noncoding tyrosinase (TYR) gene variants leading to oculocutaneous albinism type 1.</w:t>
      </w:r>
      <w:r>
        <w:rPr>
          <w:rFonts w:hint="default" w:ascii="Times New Roman" w:hAnsi="Times New Roman" w:eastAsia="Times New Roman" w:cs="Times New Roman"/>
          <w:i w:val="0"/>
          <w:iCs w:val="0"/>
          <w:caps w:val="0"/>
          <w:color w:val="000000"/>
          <w:spacing w:val="0"/>
          <w:sz w:val="21"/>
          <w:szCs w:val="21"/>
          <w:shd w:val="clear"/>
        </w:rPr>
        <w:t xml:space="preserve"> J Biol Chem. 2022;298(5):101922. </w:t>
      </w:r>
      <w:r>
        <w:rPr>
          <w:rFonts w:hint="default" w:ascii="Times New Roman" w:hAnsi="Times New Roman" w:eastAsia="Times New Roman" w:cs="Times New Roman"/>
          <w:color w:val="000000"/>
          <w:sz w:val="21"/>
          <w:szCs w:val="21"/>
        </w:rPr>
        <w:t>[</w:t>
      </w:r>
      <w:r>
        <w:rPr>
          <w:rFonts w:hint="default" w:ascii="Times New Roman" w:hAnsi="Times New Roman" w:eastAsia="Times New Roman" w:cs="Times New Roman"/>
          <w:color w:val="000000"/>
          <w:sz w:val="21"/>
          <w:szCs w:val="21"/>
          <w:lang w:val="en-US" w:eastAsia="zh-CN"/>
        </w:rPr>
        <w:t>11</w:t>
      </w:r>
      <w:r>
        <w:rPr>
          <w:rFonts w:hint="default" w:ascii="Times New Roman" w:hAnsi="Times New Roman" w:eastAsia="Times New Roman" w:cs="Times New Roman"/>
          <w:color w:val="000000"/>
          <w:sz w:val="21"/>
          <w:szCs w:val="21"/>
        </w:rPr>
        <w:t xml:space="preserve">] </w:t>
      </w:r>
      <w:bookmarkStart w:id="308" w:name="_nebD4D8B341_CF15_4814_94AC_4D23320AE2EF"/>
      <w:r>
        <w:rPr>
          <w:rFonts w:hint="default" w:ascii="Times New Roman" w:hAnsi="Times New Roman" w:eastAsia="Times New Roman" w:cs="Times New Roman"/>
          <w:color w:val="000000"/>
          <w:sz w:val="21"/>
          <w:szCs w:val="21"/>
        </w:rPr>
        <w:t>Witkop C J. Albinism: hematologic-storage disease, susceptibility to skin cancer, and optic neuronal defects shared in all types of oculocutaneous and ocular albinism[J]. Ala J Med Sci. 1979, 16(4): 327-330.</w:t>
      </w:r>
      <w:bookmarkEnd w:id="308"/>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w:t>
      </w:r>
      <w:r>
        <w:rPr>
          <w:rFonts w:hint="default" w:ascii="Times New Roman" w:hAnsi="Times New Roman" w:eastAsia="Times New Roman" w:cs="Times New Roman"/>
          <w:color w:val="000000"/>
          <w:sz w:val="21"/>
          <w:szCs w:val="21"/>
          <w:lang w:val="en-US" w:eastAsia="zh-CN"/>
        </w:rPr>
        <w:t>12</w:t>
      </w:r>
      <w:r>
        <w:rPr>
          <w:rFonts w:hint="default" w:ascii="Times New Roman" w:hAnsi="Times New Roman" w:eastAsia="Times New Roman" w:cs="Times New Roman"/>
          <w:color w:val="000000"/>
          <w:sz w:val="21"/>
          <w:szCs w:val="21"/>
        </w:rPr>
        <w:t xml:space="preserve">] </w:t>
      </w:r>
      <w:bookmarkStart w:id="309" w:name="_neb6D748D80_9D36_48EB_90AD_AF7B3EA277B6"/>
      <w:r>
        <w:rPr>
          <w:rFonts w:hint="default" w:ascii="Times New Roman" w:hAnsi="Times New Roman" w:eastAsia="Times New Roman" w:cs="Times New Roman"/>
          <w:color w:val="000000"/>
          <w:sz w:val="21"/>
          <w:szCs w:val="21"/>
        </w:rPr>
        <w:t>Wachamo SA, Patel MH, Varghese PK, Dolinska MB, Sergeev YV. Characterization of Temperature-Dependent Kinetics of Oculocutaneous Albinism-Causing Mutants of Tyrosinase. Int J Mol Sci. 2021;22(15):7771. Published 2021 Jul 21.</w:t>
      </w:r>
      <w:r>
        <w:rPr>
          <w:rFonts w:hint="default" w:ascii="Times New Roman" w:hAnsi="Times New Roman" w:eastAsia="Times New Roman" w:cs="Times New Roman"/>
          <w:i w:val="0"/>
          <w:iCs w:val="0"/>
          <w:caps w:val="0"/>
          <w:color w:val="000000"/>
          <w:spacing w:val="0"/>
          <w:sz w:val="21"/>
          <w:szCs w:val="21"/>
          <w:shd w:val="clear"/>
          <w:lang w:val="en-US" w:eastAsia="zh-CN"/>
        </w:rPr>
        <w:t>[13]</w:t>
      </w:r>
      <w:r>
        <w:rPr>
          <w:rFonts w:hint="default" w:ascii="Times New Roman" w:hAnsi="Times New Roman" w:eastAsia="Times New Roman" w:cs="Times New Roman"/>
          <w:i w:val="0"/>
          <w:iCs w:val="0"/>
          <w:caps w:val="0"/>
          <w:color w:val="000000"/>
          <w:spacing w:val="0"/>
          <w:sz w:val="21"/>
          <w:szCs w:val="21"/>
          <w:shd w:val="clear"/>
        </w:rPr>
        <w:t>Dolinska M.B., Kovaleva E., Backlund P., Wingfield P.T., Brooks B.P., Sergeev Y.V. Albinism-causing mutations in recombinant human tyrosinase alter intrinsic enzymatic activity. PLoS ONE. 2014;9:e84494.</w:t>
      </w:r>
    </w:p>
    <w:bookmarkEnd w:id="309"/>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[1</w:t>
      </w:r>
      <w:r>
        <w:rPr>
          <w:rFonts w:hint="default" w:ascii="Times New Roman" w:hAnsi="Times New Roman" w:eastAsia="Times New Roman" w:cs="Times New Roman"/>
          <w:color w:val="000000"/>
          <w:sz w:val="21"/>
          <w:szCs w:val="21"/>
          <w:lang w:val="en-US" w:eastAsia="zh-CN"/>
        </w:rPr>
        <w:t>4</w:t>
      </w:r>
      <w:r>
        <w:rPr>
          <w:rFonts w:hint="default" w:ascii="Times New Roman" w:hAnsi="Times New Roman" w:eastAsia="Times New Roman" w:cs="Times New Roman"/>
          <w:color w:val="000000"/>
          <w:sz w:val="21"/>
          <w:szCs w:val="21"/>
        </w:rPr>
        <w:t xml:space="preserve">] </w:t>
      </w:r>
      <w:bookmarkStart w:id="310" w:name="_nebAA4491E8_AF68_4F82_A3E8_9488EBC91B36"/>
      <w:r>
        <w:rPr>
          <w:rFonts w:hint="default" w:ascii="Times New Roman" w:hAnsi="Times New Roman" w:eastAsia="Times New Roman" w:cs="Times New Roman"/>
          <w:color w:val="000000"/>
          <w:sz w:val="21"/>
          <w:szCs w:val="21"/>
        </w:rPr>
        <w:t>Oetting W S, Summers C G, King R A. Albinism and the associated ocular defects[J]. Metab Pediatr Syst Ophthalmol (1985). 1994, 17(1-4): 5-9.</w:t>
      </w:r>
      <w:bookmarkEnd w:id="310"/>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[1</w:t>
      </w:r>
      <w:r>
        <w:rPr>
          <w:rFonts w:hint="default" w:ascii="Times New Roman" w:hAnsi="Times New Roman" w:eastAsia="Times New Roman" w:cs="Times New Roman"/>
          <w:color w:val="000000"/>
          <w:sz w:val="21"/>
          <w:szCs w:val="21"/>
          <w:lang w:val="en-US" w:eastAsia="zh-CN"/>
        </w:rPr>
        <w:t>5</w:t>
      </w:r>
      <w:r>
        <w:rPr>
          <w:rFonts w:hint="default" w:ascii="Times New Roman" w:hAnsi="Times New Roman" w:eastAsia="Times New Roman" w:cs="Times New Roman"/>
          <w:color w:val="000000"/>
          <w:sz w:val="21"/>
          <w:szCs w:val="21"/>
        </w:rPr>
        <w:t xml:space="preserve">] </w:t>
      </w:r>
      <w:bookmarkStart w:id="311" w:name="_neb368321AE_2DCC_4D5D_A393_1921E13774BD"/>
      <w:r>
        <w:rPr>
          <w:rFonts w:hint="default" w:ascii="Times New Roman" w:hAnsi="Times New Roman" w:eastAsia="Times New Roman" w:cs="Times New Roman"/>
          <w:color w:val="000000"/>
          <w:sz w:val="21"/>
          <w:szCs w:val="21"/>
        </w:rPr>
        <w:t>刘圆圆，刘振辉，张士璀. 黑色素生物合成和黑色素抑制剂[J]. 鲁东大学学报(自然科学版). 2016，32(03):236-242.</w:t>
      </w:r>
      <w:bookmarkEnd w:id="311"/>
    </w:p>
    <w:p>
      <w:pPr>
        <w:spacing w:beforeLines="0" w:afterLines="0"/>
        <w:rPr>
          <w:rFonts w:hint="default" w:ascii="Times New Roman" w:hAnsi="Times New Roman" w:eastAsia="Times New Roman" w:cs="Times New Roman"/>
          <w:color w:val="000000"/>
          <w:sz w:val="21"/>
          <w:szCs w:val="21"/>
        </w:rPr>
      </w:pPr>
      <w:r>
        <w:rPr>
          <w:rFonts w:hint="default" w:ascii="Times New Roman" w:hAnsi="Times New Roman" w:eastAsia="Times New Roman" w:cs="Times New Roman"/>
          <w:color w:val="000000"/>
          <w:sz w:val="21"/>
          <w:szCs w:val="21"/>
        </w:rPr>
        <w:t>[1</w:t>
      </w:r>
      <w:r>
        <w:rPr>
          <w:rFonts w:hint="default" w:ascii="Times New Roman" w:hAnsi="Times New Roman" w:eastAsia="Times New Roman" w:cs="Times New Roman"/>
          <w:color w:val="000000"/>
          <w:sz w:val="21"/>
          <w:szCs w:val="21"/>
          <w:lang w:val="en-US" w:eastAsia="zh-CN"/>
        </w:rPr>
        <w:t>6</w:t>
      </w:r>
      <w:r>
        <w:rPr>
          <w:rFonts w:hint="default" w:ascii="Times New Roman" w:hAnsi="Times New Roman" w:eastAsia="Times New Roman" w:cs="Times New Roman"/>
          <w:color w:val="000000"/>
          <w:sz w:val="21"/>
          <w:szCs w:val="21"/>
        </w:rPr>
        <w:t xml:space="preserve">] </w:t>
      </w:r>
      <w:bookmarkStart w:id="312" w:name="_nebE83552DB_8A0F_4706_9C86_2F08C3C2B904"/>
      <w:r>
        <w:rPr>
          <w:rFonts w:hint="default" w:ascii="Times New Roman" w:hAnsi="Times New Roman" w:eastAsia="Times New Roman" w:cs="Times New Roman"/>
          <w:color w:val="000000"/>
          <w:sz w:val="21"/>
          <w:szCs w:val="21"/>
        </w:rPr>
        <w:t>随刘才. 利用体细胞核移植技术生产转基因克隆梅山猪[D]. 安徽农业大学，2011.</w:t>
      </w:r>
      <w:bookmarkEnd w:id="312"/>
    </w:p>
    <w:p>
      <w:pPr>
        <w:spacing w:beforeLines="0" w:afterLines="0"/>
        <w:rPr>
          <w:rFonts w:hint="default" w:ascii="Times New Roman" w:hAnsi="Times New Roman" w:eastAsia="Times New Roman" w:cs="Times New Roman"/>
          <w:color w:val="000000"/>
          <w:sz w:val="21"/>
          <w:szCs w:val="21"/>
          <w:lang w:val="en-US" w:eastAsia="zh-CN"/>
        </w:rPr>
      </w:pPr>
      <w:r>
        <w:rPr>
          <w:rFonts w:hint="default" w:ascii="Times New Roman" w:hAnsi="Times New Roman" w:eastAsia="Times New Roman" w:cs="Times New Roman"/>
          <w:color w:val="000000"/>
          <w:sz w:val="21"/>
          <w:szCs w:val="21"/>
          <w:lang w:val="en-US" w:eastAsia="zh-CN"/>
        </w:rPr>
        <w:t>[17] 2019版《罕见病诊疗指南(2019年版)》发布[J].健康大视野, 2019, 000(005):P.8-8.</w:t>
      </w:r>
    </w:p>
    <w:p>
      <w:pPr>
        <w:spacing w:beforeLines="0" w:afterLines="0"/>
        <w:rPr>
          <w:rFonts w:hint="default" w:ascii="Times New Roman" w:hAnsi="Times New Roman" w:eastAsia="Times New Roman" w:cs="Times New Roman"/>
          <w:color w:val="000000"/>
          <w:sz w:val="21"/>
          <w:szCs w:val="21"/>
          <w:lang w:val="en-US" w:eastAsia="zh-CN"/>
        </w:rPr>
      </w:pPr>
      <w:r>
        <w:rPr>
          <w:rFonts w:hint="default" w:ascii="Times New Roman" w:hAnsi="Times New Roman" w:eastAsia="Times New Roman" w:cs="Times New Roman"/>
          <w:color w:val="000000"/>
          <w:sz w:val="21"/>
          <w:szCs w:val="21"/>
          <w:lang w:val="en-US" w:eastAsia="zh-CN"/>
        </w:rPr>
        <w:t>[1</w:t>
      </w:r>
      <w:r>
        <w:rPr>
          <w:rFonts w:hint="eastAsia" w:ascii="Times New Roman" w:hAnsi="Times New Roman" w:eastAsia="Times New Roman" w:cs="Times New Roman"/>
          <w:color w:val="000000"/>
          <w:sz w:val="21"/>
          <w:szCs w:val="21"/>
          <w:lang w:val="en-US" w:eastAsia="zh-CN"/>
        </w:rPr>
        <w:t>8</w:t>
      </w:r>
      <w:r>
        <w:rPr>
          <w:rFonts w:hint="default" w:ascii="Times New Roman" w:hAnsi="Times New Roman" w:eastAsia="Times New Roman" w:cs="Times New Roman"/>
          <w:color w:val="000000"/>
          <w:sz w:val="21"/>
          <w:szCs w:val="21"/>
          <w:lang w:val="en-US" w:eastAsia="zh-CN"/>
        </w:rPr>
        <w:t>]李巍,魏爱华,白大勇,等.白化病的临床实践指南[J].中华医学遗传学杂志, 2020(3):252-257.</w:t>
      </w:r>
    </w:p>
    <w:p>
      <w:pPr>
        <w:widowControl/>
        <w:spacing w:beforeLines="0" w:afterLines="0"/>
        <w:jc w:val="left"/>
        <w:rPr>
          <w:rFonts w:hint="default" w:ascii="Times New Roman" w:hAnsi="Times New Roman" w:eastAsia="Times New Roman" w:cs="Times New Roman"/>
          <w:color w:val="000000"/>
          <w:sz w:val="21"/>
          <w:szCs w:val="21"/>
        </w:rPr>
      </w:pPr>
      <w:r>
        <w:rPr>
          <w:rFonts w:hint="default" w:ascii="Times New Roman" w:hAnsi="Times New Roman" w:eastAsia="宋体" w:cs="Times New Roman"/>
          <w:sz w:val="21"/>
          <w:szCs w:val="21"/>
        </w:rPr>
        <w:fldChar w:fldCharType="end"/>
      </w:r>
    </w:p>
    <w:p>
      <w:pPr>
        <w:widowControl/>
        <w:autoSpaceDE/>
        <w:autoSpaceDN/>
        <w:adjustRightInd/>
        <w:spacing w:beforeLines="0" w:afterLines="0" w:line="240" w:lineRule="auto"/>
        <w:ind w:right="0"/>
        <w:jc w:val="left"/>
        <w:rPr>
          <w:rFonts w:ascii="Times New Roman" w:hAnsi="Times New Roman" w:eastAsia="Times New Roman"/>
          <w:color w:val="000000"/>
          <w:kern w:val="2"/>
          <w:sz w:val="20"/>
        </w:rPr>
      </w:pPr>
    </w:p>
    <w:p/>
    <w:sectPr>
      <w:pgSz w:w="12240" w:h="1584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auto"/>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sans-serif">
    <w:altName w:val="Segoe Print"/>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Segoe UI">
    <w:panose1 w:val="020B0502040204020203"/>
    <w:charset w:val="00"/>
    <w:family w:val="auto"/>
    <w:pitch w:val="default"/>
    <w:sig w:usb0="E4002EFF" w:usb1="C000E47F" w:usb2="00000009" w:usb3="00000000" w:csb0="200001FF" w:csb1="00000000"/>
  </w:font>
  <w:font w:name="Cambria">
    <w:panose1 w:val="02040503050406030204"/>
    <w:charset w:val="00"/>
    <w:family w:val="auto"/>
    <w:pitch w:val="default"/>
    <w:sig w:usb0="E00006FF" w:usb1="420024FF" w:usb2="02000000" w:usb3="00000000" w:csb0="2000019F" w:csb1="00000000"/>
  </w:font>
  <w:font w:name="Arial">
    <w:panose1 w:val="020B0604020202020204"/>
    <w:charset w:val="00"/>
    <w:family w:val="auto"/>
    <w:pitch w:val="default"/>
    <w:sig w:usb0="E0002EFF" w:usb1="C000785B" w:usb2="00000009" w:usb3="00000000" w:csb0="400001FF" w:csb1="FFFF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49369C"/>
    <w:multiLevelType w:val="singleLevel"/>
    <w:tmpl w:val="A649369C"/>
    <w:lvl w:ilvl="0" w:tentative="0">
      <w:start w:val="1"/>
      <w:numFmt w:val="decimal"/>
      <w:suff w:val="nothing"/>
      <w:lvlText w:val="（%1）"/>
      <w:lvlJc w:val="left"/>
    </w:lvl>
  </w:abstractNum>
  <w:abstractNum w:abstractNumId="1">
    <w:nsid w:val="F8D92E93"/>
    <w:multiLevelType w:val="singleLevel"/>
    <w:tmpl w:val="F8D92E93"/>
    <w:lvl w:ilvl="0" w:tentative="0">
      <w:start w:val="1"/>
      <w:numFmt w:val="decimal"/>
      <w:suff w:val="nothing"/>
      <w:lvlText w:val="（%1）"/>
      <w:lvlJc w:val="left"/>
    </w:lvl>
  </w:abstractNum>
  <w:abstractNum w:abstractNumId="2">
    <w:nsid w:val="F9B70021"/>
    <w:multiLevelType w:val="singleLevel"/>
    <w:tmpl w:val="F9B70021"/>
    <w:lvl w:ilvl="0" w:tentative="0">
      <w:start w:val="1"/>
      <w:numFmt w:val="decimal"/>
      <w:lvlText w:val="(%1)"/>
      <w:lvlJc w:val="left"/>
      <w:pPr>
        <w:ind w:left="425" w:hanging="425"/>
      </w:pPr>
      <w:rPr>
        <w:rFonts w:hint="default"/>
      </w:rPr>
    </w:lvl>
  </w:abstractNum>
  <w:abstractNum w:abstractNumId="3">
    <w:nsid w:val="FD5AC6E6"/>
    <w:multiLevelType w:val="singleLevel"/>
    <w:tmpl w:val="FD5AC6E6"/>
    <w:lvl w:ilvl="0" w:tentative="0">
      <w:start w:val="1"/>
      <w:numFmt w:val="decimal"/>
      <w:lvlText w:val="(%1)"/>
      <w:lvlJc w:val="left"/>
      <w:pPr>
        <w:ind w:left="425" w:hanging="425"/>
      </w:pPr>
      <w:rPr>
        <w:rFonts w:hint="default"/>
      </w:rPr>
    </w:lvl>
  </w:abstractNum>
  <w:abstractNum w:abstractNumId="4">
    <w:nsid w:val="3BFA277E"/>
    <w:multiLevelType w:val="singleLevel"/>
    <w:tmpl w:val="3BFA277E"/>
    <w:lvl w:ilvl="0" w:tentative="0">
      <w:start w:val="1"/>
      <w:numFmt w:val="lowerLetter"/>
      <w:lvlText w:val="%1."/>
      <w:lvlJc w:val="left"/>
      <w:pPr>
        <w:ind w:left="425" w:hanging="425"/>
      </w:pPr>
      <w:rPr>
        <w:rFonts w:hint="default"/>
      </w:rPr>
    </w:lvl>
  </w:abstractNum>
  <w:abstractNum w:abstractNumId="5">
    <w:nsid w:val="67BEBF29"/>
    <w:multiLevelType w:val="singleLevel"/>
    <w:tmpl w:val="67BEBF29"/>
    <w:lvl w:ilvl="0" w:tentative="0">
      <w:start w:val="1"/>
      <w:numFmt w:val="decimal"/>
      <w:suff w:val="nothing"/>
      <w:lvlText w:val="%1、"/>
      <w:lvlJc w:val="left"/>
    </w:lvl>
  </w:abstractNum>
  <w:num w:numId="1">
    <w:abstractNumId w:val="1"/>
  </w:num>
  <w:num w:numId="2">
    <w:abstractNumId w:val="0"/>
  </w:num>
  <w:num w:numId="3">
    <w:abstractNumId w:val="5"/>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FkZTA2MzczYTg3YmNhZmZlZjU1NzhiZjY2MGUzZmUifQ=="/>
  </w:docVars>
  <w:rsids>
    <w:rsidRoot w:val="342D6EED"/>
    <w:rsid w:val="16DC24A2"/>
    <w:rsid w:val="2FFE1D37"/>
    <w:rsid w:val="342D6EED"/>
    <w:rsid w:val="34A46F2F"/>
    <w:rsid w:val="3AAD15EE"/>
    <w:rsid w:val="3DBFF61A"/>
    <w:rsid w:val="3E4E219A"/>
    <w:rsid w:val="41A53138"/>
    <w:rsid w:val="4DFA2F6E"/>
    <w:rsid w:val="50BC3801"/>
    <w:rsid w:val="573A488F"/>
    <w:rsid w:val="5FBC0584"/>
    <w:rsid w:val="6371759A"/>
    <w:rsid w:val="6D97657A"/>
    <w:rsid w:val="6DF7469D"/>
    <w:rsid w:val="76BF045D"/>
    <w:rsid w:val="77FF3EAF"/>
    <w:rsid w:val="7B5C10AF"/>
    <w:rsid w:val="7BBBA20C"/>
    <w:rsid w:val="7BD70A72"/>
    <w:rsid w:val="7F6C277C"/>
    <w:rsid w:val="BB9FC2DE"/>
    <w:rsid w:val="D6EF696E"/>
    <w:rsid w:val="E1FE93DC"/>
    <w:rsid w:val="EEBB9642"/>
    <w:rsid w:val="EFEDAFCC"/>
    <w:rsid w:val="F74FFA60"/>
    <w:rsid w:val="F79B10C8"/>
    <w:rsid w:val="FEC74FE9"/>
    <w:rsid w:val="FF7BD89C"/>
    <w:rsid w:val="FF7F5D0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autoRedefine/>
    <w:qFormat/>
    <w:uiPriority w:val="0"/>
    <w:pPr>
      <w:keepNext/>
      <w:keepLines/>
      <w:spacing w:before="340" w:after="330" w:line="578" w:lineRule="auto"/>
      <w:jc w:val="center"/>
      <w:outlineLvl w:val="0"/>
    </w:pPr>
    <w:rPr>
      <w:rFonts w:eastAsia="宋体" w:asciiTheme="minorAscii" w:hAnsiTheme="minorAscii"/>
      <w:bCs/>
      <w:kern w:val="44"/>
      <w:sz w:val="32"/>
      <w:szCs w:val="44"/>
    </w:rPr>
  </w:style>
  <w:style w:type="paragraph" w:styleId="3">
    <w:name w:val="heading 2"/>
    <w:basedOn w:val="1"/>
    <w:next w:val="1"/>
    <w:autoRedefine/>
    <w:unhideWhenUsed/>
    <w:qFormat/>
    <w:uiPriority w:val="0"/>
    <w:pPr>
      <w:keepNext/>
      <w:keepLines/>
      <w:spacing w:before="20" w:after="20" w:line="416" w:lineRule="auto"/>
      <w:jc w:val="left"/>
      <w:outlineLvl w:val="1"/>
    </w:pPr>
    <w:rPr>
      <w:rFonts w:eastAsia="宋体" w:asciiTheme="majorAscii" w:hAnsiTheme="majorAscii" w:cstheme="majorBidi"/>
      <w:b/>
      <w:bCs/>
      <w:sz w:val="28"/>
      <w:szCs w:val="32"/>
    </w:rPr>
  </w:style>
  <w:style w:type="paragraph" w:styleId="4">
    <w:name w:val="heading 3"/>
    <w:basedOn w:val="1"/>
    <w:next w:val="1"/>
    <w:autoRedefine/>
    <w:unhideWhenUsed/>
    <w:qFormat/>
    <w:uiPriority w:val="9"/>
    <w:pPr>
      <w:spacing w:before="0" w:beforeAutospacing="1" w:after="0" w:afterAutospacing="1"/>
      <w:jc w:val="left"/>
      <w:outlineLvl w:val="2"/>
    </w:pPr>
    <w:rPr>
      <w:rFonts w:hint="eastAsia" w:ascii="宋体" w:hAnsi="宋体" w:eastAsia="宋体" w:cs="宋体"/>
      <w:kern w:val="0"/>
      <w:sz w:val="24"/>
      <w:szCs w:val="27"/>
      <w:lang w:bidi="ar"/>
    </w:rPr>
  </w:style>
  <w:style w:type="character" w:default="1" w:styleId="10">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5">
    <w:name w:val="footer"/>
    <w:basedOn w:val="1"/>
    <w:uiPriority w:val="0"/>
    <w:pPr>
      <w:tabs>
        <w:tab w:val="center" w:pos="4153"/>
        <w:tab w:val="right" w:pos="8306"/>
      </w:tabs>
      <w:snapToGrid w:val="0"/>
      <w:jc w:val="left"/>
    </w:pPr>
    <w:rPr>
      <w:sz w:val="18"/>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table" w:styleId="9">
    <w:name w:val="Table Grid"/>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Emphasis"/>
    <w:basedOn w:val="10"/>
    <w:qFormat/>
    <w:uiPriority w:val="0"/>
    <w:rPr>
      <w:i/>
    </w:rPr>
  </w:style>
  <w:style w:type="character" w:styleId="12">
    <w:name w:val="Hyperlink"/>
    <w:basedOn w:val="10"/>
    <w:uiPriority w:val="0"/>
    <w:rPr>
      <w:color w:val="0000FF"/>
      <w:u w:val="single"/>
    </w:rPr>
  </w:style>
  <w:style w:type="character" w:customStyle="1" w:styleId="13">
    <w:name w:val="font21"/>
    <w:basedOn w:val="10"/>
    <w:autoRedefine/>
    <w:qFormat/>
    <w:uiPriority w:val="0"/>
    <w:rPr>
      <w:rFonts w:hint="default" w:ascii="Times New Roman" w:hAnsi="Times New Roman" w:cs="Times New Roman"/>
      <w:color w:val="000000"/>
      <w:sz w:val="24"/>
      <w:szCs w:val="24"/>
      <w:u w:val="none"/>
    </w:rPr>
  </w:style>
  <w:style w:type="character" w:customStyle="1" w:styleId="14">
    <w:name w:val="font41"/>
    <w:basedOn w:val="10"/>
    <w:autoRedefine/>
    <w:qFormat/>
    <w:uiPriority w:val="0"/>
    <w:rPr>
      <w:rFonts w:hint="eastAsia" w:ascii="宋体" w:hAnsi="宋体" w:eastAsia="宋体" w:cs="宋体"/>
      <w:color w:val="000000"/>
      <w:sz w:val="24"/>
      <w:szCs w:val="24"/>
      <w:u w:val="none"/>
    </w:rPr>
  </w:style>
  <w:style w:type="table" w:customStyle="1" w:styleId="15">
    <w:name w:val="网格型1"/>
    <w:basedOn w:val="8"/>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image" Target="media/image5.tiff"/><Relationship Id="rId7" Type="http://schemas.openxmlformats.org/officeDocument/2006/relationships/image" Target="media/image4.tiff"/><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25</Pages>
  <Words>0</Words>
  <Characters>0</Characters>
  <Lines>0</Lines>
  <Paragraphs>0</Paragraphs>
  <TotalTime>4</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2023-05-05T04:43:00Z</dcterms:created>
  <dc:creator>侧耳倾听</dc:creator>
  <cp:lastModifiedBy>fairy</cp:lastModifiedBy>
  <dcterms:modified xsi:type="dcterms:W3CDTF">2024-05-27T00:57:01Z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C325D8A766A043DC94E49E42AA0D675F_13</vt:lpwstr>
  </property>
</Properties>
</file>