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736" w:rsidRPr="00365736" w:rsidRDefault="00365736" w:rsidP="00365736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65736">
        <w:rPr>
          <w:rFonts w:ascii="Times New Roman" w:eastAsia="宋体" w:hAnsi="Times New Roman" w:cs="Times New Roman" w:hint="eastAsia"/>
          <w:sz w:val="24"/>
          <w:szCs w:val="24"/>
        </w:rPr>
        <w:t>附件</w:t>
      </w:r>
      <w:r w:rsidRPr="00365736">
        <w:rPr>
          <w:rFonts w:ascii="Times New Roman" w:eastAsia="宋体" w:hAnsi="Times New Roman" w:cs="Times New Roman"/>
          <w:sz w:val="24"/>
          <w:szCs w:val="24"/>
        </w:rPr>
        <w:t>3</w:t>
      </w:r>
    </w:p>
    <w:p w:rsidR="00365736" w:rsidRPr="00365736" w:rsidRDefault="00365736" w:rsidP="00365736">
      <w:pPr>
        <w:autoSpaceDE w:val="0"/>
        <w:autoSpaceDN w:val="0"/>
        <w:adjustRightInd w:val="0"/>
        <w:spacing w:before="1"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365736">
        <w:rPr>
          <w:rFonts w:ascii="Times New Roman" w:eastAsia="宋体" w:hAnsi="Times New Roman" w:cs="宋体" w:hint="eastAsia"/>
          <w:b/>
          <w:color w:val="000000"/>
          <w:w w:val="99"/>
          <w:kern w:val="0"/>
          <w:sz w:val="30"/>
          <w:szCs w:val="30"/>
        </w:rPr>
        <w:t>中国实验动物学会实验动物模型研发报告</w:t>
      </w:r>
    </w:p>
    <w:p w:rsidR="00365736" w:rsidRPr="00365736" w:rsidRDefault="00365736" w:rsidP="00365736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335"/>
        <w:gridCol w:w="2289"/>
        <w:gridCol w:w="2700"/>
      </w:tblGrid>
      <w:tr w:rsidR="00365736" w:rsidRPr="00365736" w:rsidTr="001B0009">
        <w:trPr>
          <w:trHeight w:val="847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实验动物模型名称（中、英文）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65736" w:rsidRPr="00365736" w:rsidTr="001B0009">
        <w:trPr>
          <w:trHeight w:hRule="exact" w:val="51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申请人（单位）</w:t>
            </w: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65736" w:rsidRPr="00365736" w:rsidTr="001B0009">
        <w:trPr>
          <w:trHeight w:hRule="exact" w:val="51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研究机构（人）地址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65736" w:rsidRPr="00365736" w:rsidTr="001B0009">
        <w:trPr>
          <w:trHeight w:hRule="exact" w:val="51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研究机构（人）电话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65736" w:rsidRPr="00365736" w:rsidTr="001B0009">
        <w:trPr>
          <w:trHeight w:hRule="exact" w:val="51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主要参与人员及单位</w:t>
            </w:r>
          </w:p>
        </w:tc>
        <w:tc>
          <w:tcPr>
            <w:tcW w:w="6324" w:type="dxa"/>
            <w:gridSpan w:val="3"/>
            <w:shd w:val="clear" w:color="auto" w:fill="auto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65736" w:rsidRPr="00365736" w:rsidTr="001B0009">
        <w:trPr>
          <w:trHeight w:hRule="exact" w:val="51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研究起止日期</w:t>
            </w:r>
          </w:p>
        </w:tc>
        <w:tc>
          <w:tcPr>
            <w:tcW w:w="6324" w:type="dxa"/>
            <w:gridSpan w:val="3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ind w:firstLineChars="250" w:firstLine="600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65736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65736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Pr="00365736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65736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365736" w:rsidRPr="00365736" w:rsidTr="001B0009">
        <w:trPr>
          <w:trHeight w:hRule="exact" w:val="51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原始资料的保存地点</w:t>
            </w:r>
          </w:p>
        </w:tc>
        <w:tc>
          <w:tcPr>
            <w:tcW w:w="6324" w:type="dxa"/>
            <w:gridSpan w:val="3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365736" w:rsidRPr="00365736" w:rsidTr="001B0009">
        <w:trPr>
          <w:trHeight w:hRule="exact" w:val="51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ind w:left="2866" w:right="854" w:hanging="2865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ind w:left="2866" w:right="854" w:hanging="286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65736" w:rsidRPr="00365736" w:rsidRDefault="00365736" w:rsidP="00365736">
            <w:pPr>
              <w:autoSpaceDE w:val="0"/>
              <w:autoSpaceDN w:val="0"/>
              <w:adjustRightInd w:val="0"/>
              <w:spacing w:line="360" w:lineRule="exact"/>
              <w:ind w:left="2866" w:right="854" w:hanging="2865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邮箱</w:t>
            </w:r>
          </w:p>
        </w:tc>
      </w:tr>
      <w:tr w:rsidR="00365736" w:rsidRPr="00365736" w:rsidTr="001B0009">
        <w:trPr>
          <w:trHeight w:val="2673"/>
          <w:jc w:val="center"/>
        </w:trPr>
        <w:tc>
          <w:tcPr>
            <w:tcW w:w="8822" w:type="dxa"/>
            <w:gridSpan w:val="4"/>
            <w:shd w:val="clear" w:color="auto" w:fill="auto"/>
          </w:tcPr>
          <w:p w:rsidR="00365736" w:rsidRPr="00365736" w:rsidRDefault="00365736" w:rsidP="00365736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摘要（简述研究的目的和意义，主要造模方法，与临床的相似度及评价方法，概述模型的创新点和应用价值）</w:t>
            </w:r>
          </w:p>
          <w:p w:rsidR="00365736" w:rsidRPr="00365736" w:rsidRDefault="00365736" w:rsidP="00365736">
            <w:pPr>
              <w:numPr>
                <w:ilvl w:val="255"/>
                <w:numId w:val="0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65736" w:rsidRPr="00365736" w:rsidRDefault="00365736" w:rsidP="00365736">
            <w:pPr>
              <w:numPr>
                <w:ilvl w:val="255"/>
                <w:numId w:val="0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65736" w:rsidRPr="00365736" w:rsidRDefault="00365736" w:rsidP="00365736">
            <w:pPr>
              <w:numPr>
                <w:ilvl w:val="255"/>
                <w:numId w:val="0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65736" w:rsidRPr="00365736" w:rsidRDefault="00365736" w:rsidP="00365736">
            <w:pPr>
              <w:numPr>
                <w:ilvl w:val="255"/>
                <w:numId w:val="0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65736" w:rsidRPr="00365736" w:rsidRDefault="00365736" w:rsidP="00365736">
            <w:pPr>
              <w:numPr>
                <w:ilvl w:val="255"/>
                <w:numId w:val="0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657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二、研究报告正文（可以附件形式编制，编制要点附后）</w:t>
            </w:r>
          </w:p>
          <w:p w:rsidR="00365736" w:rsidRPr="00365736" w:rsidRDefault="00365736" w:rsidP="0036573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  <w:p w:rsidR="00365736" w:rsidRPr="00365736" w:rsidRDefault="00365736" w:rsidP="00365736">
            <w:pPr>
              <w:autoSpaceDE w:val="0"/>
              <w:autoSpaceDN w:val="0"/>
              <w:adjustRightInd w:val="0"/>
              <w:spacing w:before="104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65736" w:rsidRPr="00365736" w:rsidRDefault="00365736" w:rsidP="00365736">
      <w:pPr>
        <w:autoSpaceDE w:val="0"/>
        <w:autoSpaceDN w:val="0"/>
        <w:adjustRightInd w:val="0"/>
        <w:spacing w:before="104"/>
        <w:ind w:firstLineChars="650" w:firstLine="1175"/>
        <w:jc w:val="right"/>
        <w:rPr>
          <w:rFonts w:ascii="Times New Roman" w:eastAsia="宋体" w:hAnsi="Times New Roman" w:cs="Times New Roman"/>
          <w:b/>
          <w:kern w:val="0"/>
          <w:sz w:val="18"/>
          <w:szCs w:val="18"/>
        </w:rPr>
      </w:pPr>
      <w:r w:rsidRPr="00365736">
        <w:rPr>
          <w:rFonts w:ascii="Times New Roman" w:eastAsia="宋体" w:hAnsi="Times New Roman" w:cs="Times New Roman" w:hint="eastAsia"/>
          <w:b/>
          <w:kern w:val="0"/>
          <w:sz w:val="18"/>
          <w:szCs w:val="18"/>
        </w:rPr>
        <w:t>中国实验动物学会实验动物模型鉴定与评价工作委员会制</w:t>
      </w:r>
    </w:p>
    <w:p w:rsidR="00365736" w:rsidRPr="00365736" w:rsidRDefault="00365736" w:rsidP="00365736">
      <w:pPr>
        <w:rPr>
          <w:rFonts w:ascii="Times New Roman" w:eastAsia="宋体" w:hAnsi="Times New Roman" w:cs="Times New Roman"/>
        </w:rPr>
      </w:pPr>
    </w:p>
    <w:p w:rsidR="00365736" w:rsidRPr="00365736" w:rsidRDefault="00365736" w:rsidP="00365736">
      <w:pPr>
        <w:rPr>
          <w:rFonts w:ascii="Times New Roman" w:eastAsia="宋体" w:hAnsi="Times New Roman" w:cs="Times New Roman"/>
        </w:rPr>
      </w:pPr>
    </w:p>
    <w:p w:rsidR="00365736" w:rsidRDefault="00365736"/>
    <w:p w:rsidR="002A59EF" w:rsidRPr="002A59EF" w:rsidRDefault="002A59EF" w:rsidP="002A59EF">
      <w:pPr>
        <w:widowControl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0"/>
          <w:szCs w:val="30"/>
        </w:rPr>
      </w:pPr>
      <w:r w:rsidRPr="002A59EF">
        <w:rPr>
          <w:rFonts w:ascii="Times New Roman" w:eastAsia="宋体" w:hAnsi="Times New Roman" w:cs="宋体" w:hint="eastAsia"/>
          <w:b/>
          <w:bCs/>
          <w:color w:val="000000"/>
          <w:kern w:val="0"/>
          <w:sz w:val="30"/>
          <w:szCs w:val="30"/>
        </w:rPr>
        <w:lastRenderedPageBreak/>
        <w:t>中国实验动物学</w:t>
      </w:r>
      <w:proofErr w:type="gramStart"/>
      <w:r w:rsidRPr="002A59EF">
        <w:rPr>
          <w:rFonts w:ascii="Times New Roman" w:eastAsia="宋体" w:hAnsi="Times New Roman" w:cs="宋体" w:hint="eastAsia"/>
          <w:b/>
          <w:bCs/>
          <w:color w:val="000000"/>
          <w:kern w:val="0"/>
          <w:sz w:val="30"/>
          <w:szCs w:val="30"/>
        </w:rPr>
        <w:t>会动物</w:t>
      </w:r>
      <w:proofErr w:type="gramEnd"/>
      <w:r w:rsidRPr="002A59EF">
        <w:rPr>
          <w:rFonts w:ascii="Times New Roman" w:eastAsia="宋体" w:hAnsi="Times New Roman" w:cs="宋体" w:hint="eastAsia"/>
          <w:b/>
          <w:bCs/>
          <w:color w:val="000000"/>
          <w:kern w:val="0"/>
          <w:sz w:val="30"/>
          <w:szCs w:val="30"/>
        </w:rPr>
        <w:t>模型研发报告编制要点</w:t>
      </w:r>
    </w:p>
    <w:p w:rsidR="002A59EF" w:rsidRPr="002A59EF" w:rsidRDefault="002A59EF" w:rsidP="002A59EF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</w:pPr>
    </w:p>
    <w:p w:rsidR="002A59EF" w:rsidRPr="002A59EF" w:rsidRDefault="002A59EF" w:rsidP="002A59EF">
      <w:pPr>
        <w:widowControl/>
        <w:spacing w:line="30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一、动物模型的命名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sz w:val="24"/>
          <w:szCs w:val="24"/>
        </w:rPr>
        <w:t>参考国际实验动物命名通用原则，结合动物模型类型的</w:t>
      </w:r>
      <w:r w:rsidRPr="002A59EF">
        <w:rPr>
          <w:rFonts w:ascii="Times New Roman" w:eastAsia="宋体" w:hAnsi="Times New Roman" w:cs="Times New Roman"/>
          <w:sz w:val="24"/>
          <w:szCs w:val="24"/>
        </w:rPr>
        <w:t>I</w:t>
      </w:r>
      <w:r w:rsidRPr="002A59E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A59EF">
        <w:rPr>
          <w:rFonts w:ascii="Times New Roman" w:eastAsia="宋体" w:hAnsi="Times New Roman" w:cs="Times New Roman"/>
          <w:sz w:val="24"/>
          <w:szCs w:val="24"/>
        </w:rPr>
        <w:t>II</w:t>
      </w:r>
      <w:r w:rsidRPr="002A59EF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Pr="002A59EF">
        <w:rPr>
          <w:rFonts w:ascii="Times New Roman" w:eastAsia="宋体" w:hAnsi="Times New Roman" w:cs="Times New Roman"/>
          <w:sz w:val="24"/>
          <w:szCs w:val="24"/>
        </w:rPr>
        <w:t>III</w:t>
      </w:r>
      <w:r w:rsidRPr="002A59EF">
        <w:rPr>
          <w:rFonts w:ascii="Times New Roman" w:eastAsia="宋体" w:hAnsi="Times New Roman" w:cs="Times New Roman" w:hint="eastAsia"/>
          <w:sz w:val="24"/>
          <w:szCs w:val="24"/>
        </w:rPr>
        <w:t>级分类法进行联合命名，即“疾病</w:t>
      </w:r>
      <w:r w:rsidRPr="002A59EF">
        <w:rPr>
          <w:rFonts w:ascii="Times New Roman" w:eastAsia="宋体" w:hAnsi="Times New Roman" w:cs="Times New Roman"/>
          <w:sz w:val="24"/>
          <w:szCs w:val="24"/>
        </w:rPr>
        <w:t>+</w:t>
      </w:r>
      <w:r w:rsidRPr="002A59EF">
        <w:rPr>
          <w:rFonts w:ascii="Times New Roman" w:eastAsia="宋体" w:hAnsi="Times New Roman" w:cs="Times New Roman" w:hint="eastAsia"/>
          <w:sz w:val="24"/>
          <w:szCs w:val="24"/>
        </w:rPr>
        <w:t>动物品种</w:t>
      </w:r>
      <w:r w:rsidRPr="002A59EF">
        <w:rPr>
          <w:rFonts w:ascii="Times New Roman" w:eastAsia="宋体" w:hAnsi="Times New Roman" w:cs="Times New Roman"/>
          <w:sz w:val="24"/>
          <w:szCs w:val="24"/>
        </w:rPr>
        <w:t>+</w:t>
      </w:r>
      <w:r w:rsidRPr="002A59EF">
        <w:rPr>
          <w:rFonts w:ascii="Times New Roman" w:eastAsia="宋体" w:hAnsi="Times New Roman" w:cs="Times New Roman" w:hint="eastAsia"/>
          <w:sz w:val="24"/>
          <w:szCs w:val="24"/>
        </w:rPr>
        <w:t>造模方法”进行命名，命名时应尽量细化。中医药动物模型应体现中医药特点。需用中英两种文字命名。</w:t>
      </w:r>
    </w:p>
    <w:p w:rsidR="002A59EF" w:rsidRPr="002A59EF" w:rsidRDefault="002A59EF" w:rsidP="002A59EF">
      <w:pPr>
        <w:widowControl/>
        <w:spacing w:line="30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二、研究背景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sz w:val="24"/>
          <w:szCs w:val="24"/>
        </w:rPr>
        <w:t>研究目的及意义；国内外研究进展并附参考文献。</w:t>
      </w:r>
    </w:p>
    <w:p w:rsidR="002A59EF" w:rsidRPr="002A59EF" w:rsidRDefault="002A59EF" w:rsidP="002A59EF">
      <w:pPr>
        <w:widowControl/>
        <w:spacing w:line="30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三、动物模型的制备方法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sz w:val="24"/>
          <w:szCs w:val="24"/>
        </w:rPr>
        <w:t>包括实验材料、实验环境、实验操作规程等内容。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对涉及的实验动物、实验试剂、检测仪器应标明详细信息，并符合国家相关规定。</w:t>
      </w:r>
    </w:p>
    <w:p w:rsidR="002A59EF" w:rsidRPr="002A59EF" w:rsidRDefault="002A59EF" w:rsidP="002A59EF">
      <w:pPr>
        <w:widowControl/>
        <w:spacing w:line="30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四、动物模型的评价与验证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sz w:val="24"/>
          <w:szCs w:val="24"/>
        </w:rPr>
        <w:t>基于模型制备三原则（表观效度、预测效度以及结构效度）对模型指标进行评价，其中包括整体行为特征、组织器官、细胞和分子等在内的指标评价体系。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sz w:val="24"/>
          <w:szCs w:val="24"/>
        </w:rPr>
        <w:t>评价方法包括以整体实验为主，涵盖行为、影像、生理生化和组织切片等技术方法进行详细介绍。采用的仪器设备、试剂应满足模型评价的要求，指标完善，条件稳定。</w:t>
      </w:r>
    </w:p>
    <w:p w:rsidR="002A59EF" w:rsidRPr="002A59EF" w:rsidRDefault="002A59EF" w:rsidP="002A59EF">
      <w:pPr>
        <w:ind w:firstLineChars="200" w:firstLine="480"/>
        <w:jc w:val="left"/>
        <w:rPr>
          <w:rFonts w:ascii="Times New Roman" w:eastAsia="宋体" w:hAnsi="Times New Roman" w:cs="宋体"/>
          <w:sz w:val="24"/>
          <w:szCs w:val="24"/>
        </w:rPr>
      </w:pP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评价指标包括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核心指标</w:t>
      </w: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（如特异的基因改变、特异的染毒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病原</w:t>
      </w: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株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或高载量病毒核酸</w:t>
      </w: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、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特异性免疫抗体</w:t>
      </w: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）；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主要指标</w:t>
      </w: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（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模拟人类疾病临床症状和体征</w:t>
      </w: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、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易感器官的特征性改变</w:t>
      </w: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和特异性生物标志物）；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重要指标</w:t>
      </w: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（模拟疾病某些方面的改变的指标）和辅助指标。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sz w:val="24"/>
          <w:szCs w:val="24"/>
        </w:rPr>
        <w:t>应包括阳性药物对其指标的证实效应。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sz w:val="24"/>
          <w:szCs w:val="24"/>
        </w:rPr>
        <w:t>应说明重复验证的批数。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中医药</w:t>
      </w:r>
      <w:r w:rsidRPr="002A59EF">
        <w:rPr>
          <w:rFonts w:ascii="Times New Roman" w:eastAsia="宋体" w:hAnsi="Times New Roman" w:cs="宋体"/>
          <w:sz w:val="24"/>
          <w:szCs w:val="24"/>
          <w:lang w:bidi="ar"/>
        </w:rPr>
        <w:t>模型应有体现中医药特点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的评价指标。</w:t>
      </w:r>
    </w:p>
    <w:p w:rsidR="002A59EF" w:rsidRPr="002A59EF" w:rsidRDefault="002A59EF" w:rsidP="002A59EF">
      <w:pPr>
        <w:widowControl/>
        <w:spacing w:line="30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五、动物模型的生物安全性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动物模型的制备和应用实验必须在具备相应资质的实验室开展。动物模型的制备、应用过程中的监督管理、处置措施</w:t>
      </w:r>
      <w:r w:rsidRPr="002A59EF">
        <w:rPr>
          <w:rFonts w:ascii="Times New Roman" w:eastAsia="宋体" w:hAnsi="Times New Roman" w:cs="Times New Roman" w:hint="eastAsia"/>
          <w:sz w:val="24"/>
          <w:szCs w:val="24"/>
        </w:rPr>
        <w:t>、对环境和生态影响</w:t>
      </w:r>
      <w:r w:rsidRPr="002A59EF">
        <w:rPr>
          <w:rFonts w:ascii="Times New Roman" w:eastAsia="宋体" w:hAnsi="Times New Roman" w:cs="宋体" w:hint="eastAsia"/>
          <w:sz w:val="24"/>
          <w:szCs w:val="24"/>
          <w:lang w:bidi="ar"/>
        </w:rPr>
        <w:t>等应符合国家相关法律规定</w:t>
      </w:r>
      <w:r w:rsidRPr="002A59E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2A59EF" w:rsidRPr="002A59EF" w:rsidRDefault="002A59EF" w:rsidP="002A59EF">
      <w:pPr>
        <w:widowControl/>
        <w:spacing w:line="30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六、讨论和结论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sz w:val="24"/>
          <w:szCs w:val="24"/>
        </w:rPr>
        <w:t>总结该模型鉴定和评价的技术方法和指标体系；分析该模型与国内外现有模型的异同；讨论该模型的技术难点、创新性和应用价值。</w:t>
      </w:r>
    </w:p>
    <w:p w:rsidR="002A59EF" w:rsidRPr="002A59EF" w:rsidRDefault="002A59EF" w:rsidP="002A59EF">
      <w:pPr>
        <w:widowControl/>
        <w:spacing w:line="300" w:lineRule="auto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59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七、有助于动物模型鉴定和评价的其它材料</w:t>
      </w:r>
    </w:p>
    <w:p w:rsidR="002A59EF" w:rsidRPr="002A59EF" w:rsidRDefault="002A59EF" w:rsidP="002A59EF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</w:rPr>
      </w:pPr>
      <w:r w:rsidRPr="002A59EF">
        <w:rPr>
          <w:rFonts w:ascii="Times New Roman" w:eastAsia="宋体" w:hAnsi="Times New Roman" w:cs="Times New Roman" w:hint="eastAsia"/>
          <w:sz w:val="24"/>
          <w:szCs w:val="24"/>
        </w:rPr>
        <w:t>其它有助于评价的材料，包括第三</w:t>
      </w:r>
      <w:proofErr w:type="gramStart"/>
      <w:r w:rsidRPr="002A59EF">
        <w:rPr>
          <w:rFonts w:ascii="Times New Roman" w:eastAsia="宋体" w:hAnsi="Times New Roman" w:cs="Times New Roman" w:hint="eastAsia"/>
          <w:sz w:val="24"/>
          <w:szCs w:val="24"/>
        </w:rPr>
        <w:t>方应用</w:t>
      </w:r>
      <w:proofErr w:type="gramEnd"/>
      <w:r w:rsidRPr="002A59EF">
        <w:rPr>
          <w:rFonts w:ascii="Times New Roman" w:eastAsia="宋体" w:hAnsi="Times New Roman" w:cs="Times New Roman" w:hint="eastAsia"/>
          <w:sz w:val="24"/>
          <w:szCs w:val="24"/>
        </w:rPr>
        <w:t>机构的证明、在行业一流学术刊物上发表学术论文和引用情况等材料。详细材料以附件形式一并提交。</w:t>
      </w:r>
    </w:p>
    <w:p w:rsidR="002A59EF" w:rsidRDefault="002A59EF">
      <w:pPr>
        <w:rPr>
          <w:rFonts w:hint="eastAsia"/>
        </w:rPr>
      </w:pPr>
    </w:p>
    <w:sectPr w:rsidR="002A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A97" w:rsidRDefault="00D91A97" w:rsidP="002A59EF">
      <w:r>
        <w:separator/>
      </w:r>
    </w:p>
  </w:endnote>
  <w:endnote w:type="continuationSeparator" w:id="0">
    <w:p w:rsidR="00D91A97" w:rsidRDefault="00D91A97" w:rsidP="002A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A97" w:rsidRDefault="00D91A97" w:rsidP="002A59EF">
      <w:r>
        <w:separator/>
      </w:r>
    </w:p>
  </w:footnote>
  <w:footnote w:type="continuationSeparator" w:id="0">
    <w:p w:rsidR="00D91A97" w:rsidRDefault="00D91A97" w:rsidP="002A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96CC02"/>
    <w:multiLevelType w:val="singleLevel"/>
    <w:tmpl w:val="FC96CC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0643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36"/>
    <w:rsid w:val="002A59EF"/>
    <w:rsid w:val="00365736"/>
    <w:rsid w:val="00D9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786D0"/>
  <w15:chartTrackingRefBased/>
  <w15:docId w15:val="{25441AB1-DF10-45CE-B212-226AF222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秀萍</dc:creator>
  <cp:keywords/>
  <dc:description/>
  <cp:lastModifiedBy>孙 秀萍</cp:lastModifiedBy>
  <cp:revision>2</cp:revision>
  <dcterms:created xsi:type="dcterms:W3CDTF">2022-11-23T06:15:00Z</dcterms:created>
  <dcterms:modified xsi:type="dcterms:W3CDTF">2022-11-23T06:17:00Z</dcterms:modified>
</cp:coreProperties>
</file>