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left"/>
        <w:rPr>
          <w:rFonts w:hint="eastAsia" w:ascii="Times New Roman" w:hAnsi="Times New Roman" w:eastAsia="黑体" w:cs="Times New Roman"/>
          <w:b w:val="0"/>
          <w:bCs w:val="0"/>
          <w:color w:val="000000"/>
          <w:kern w:val="0"/>
          <w:sz w:val="28"/>
          <w:szCs w:val="28"/>
        </w:rPr>
      </w:pPr>
      <w:r>
        <w:rPr>
          <w:rFonts w:ascii="Times New Roman" w:hAnsi="Times New Roman" w:eastAsia="黑体" w:cs="Times New Roman"/>
          <w:b/>
          <w:bCs/>
          <w:color w:val="000000"/>
          <w:kern w:val="0"/>
          <w:sz w:val="28"/>
          <w:szCs w:val="28"/>
        </w:rPr>
        <w:t>模型名称：</w:t>
      </w:r>
      <w:r>
        <w:rPr>
          <w:rFonts w:hint="eastAsia" w:ascii="Times New Roman" w:hAnsi="Times New Roman" w:eastAsia="黑体" w:cs="Times New Roman"/>
          <w:b w:val="0"/>
          <w:bCs w:val="0"/>
          <w:color w:val="000000"/>
          <w:kern w:val="0"/>
          <w:sz w:val="28"/>
          <w:szCs w:val="28"/>
        </w:rPr>
        <w:t>新型冠状病毒肺炎仓鼠感染模型</w:t>
      </w:r>
    </w:p>
    <w:p>
      <w:pPr>
        <w:widowControl/>
        <w:spacing w:line="360" w:lineRule="auto"/>
        <w:jc w:val="left"/>
        <w:rPr>
          <w:rFonts w:hint="eastAsia" w:ascii="Times New Roman" w:hAnsi="Times New Roman" w:eastAsia="黑体" w:cs="Times New Roman"/>
          <w:b w:val="0"/>
          <w:bCs w:val="0"/>
          <w:color w:val="000000"/>
          <w:kern w:val="0"/>
          <w:sz w:val="28"/>
          <w:szCs w:val="28"/>
        </w:rPr>
      </w:pPr>
      <w:r>
        <w:rPr>
          <w:rFonts w:hint="eastAsia" w:ascii="Times New Roman" w:hAnsi="Times New Roman" w:eastAsia="黑体" w:cs="Times New Roman"/>
          <w:b/>
          <w:bCs/>
          <w:color w:val="000000"/>
          <w:kern w:val="0"/>
          <w:sz w:val="28"/>
          <w:szCs w:val="28"/>
        </w:rPr>
        <w:t>英文名称：</w:t>
      </w:r>
      <w:r>
        <w:rPr>
          <w:rFonts w:hint="eastAsia" w:ascii="Times New Roman" w:hAnsi="Times New Roman" w:eastAsia="黑体" w:cs="Times New Roman"/>
          <w:b w:val="0"/>
          <w:bCs w:val="0"/>
          <w:color w:val="000000"/>
          <w:kern w:val="0"/>
          <w:sz w:val="28"/>
          <w:szCs w:val="28"/>
        </w:rPr>
        <w:t xml:space="preserve">Hamster model for COVID-19 </w:t>
      </w:r>
    </w:p>
    <w:p>
      <w:pPr>
        <w:widowControl/>
        <w:spacing w:line="360" w:lineRule="auto"/>
        <w:jc w:val="left"/>
        <w:rPr>
          <w:rFonts w:hint="eastAsia" w:ascii="Times New Roman" w:hAnsi="Times New Roman" w:eastAsia="黑体" w:cs="Times New Roman"/>
          <w:b w:val="0"/>
          <w:bCs w:val="0"/>
          <w:color w:val="000000"/>
          <w:kern w:val="0"/>
          <w:sz w:val="28"/>
          <w:szCs w:val="28"/>
        </w:rPr>
      </w:pPr>
      <w:r>
        <w:rPr>
          <w:rFonts w:hint="eastAsia" w:ascii="Times New Roman" w:hAnsi="Times New Roman" w:eastAsia="黑体" w:cs="Times New Roman"/>
          <w:b/>
          <w:bCs/>
          <w:color w:val="000000"/>
          <w:kern w:val="0"/>
          <w:sz w:val="28"/>
          <w:szCs w:val="28"/>
        </w:rPr>
        <w:t>申请单位：</w:t>
      </w:r>
      <w:r>
        <w:rPr>
          <w:rFonts w:hint="eastAsia" w:ascii="Times New Roman" w:hAnsi="Times New Roman" w:eastAsia="黑体" w:cs="Times New Roman"/>
          <w:b w:val="0"/>
          <w:bCs w:val="0"/>
          <w:color w:val="000000"/>
          <w:kern w:val="0"/>
          <w:sz w:val="28"/>
          <w:szCs w:val="28"/>
        </w:rPr>
        <w:t>中国医学科学院医学实验动物研究所</w:t>
      </w:r>
    </w:p>
    <w:p>
      <w:pPr>
        <w:spacing w:before="156" w:beforeLines="50" w:line="360" w:lineRule="auto"/>
        <w:ind w:firstLine="366" w:firstLineChars="152"/>
        <w:rPr>
          <w:rFonts w:ascii="Times New Roman" w:hAnsi="Times New Roman" w:eastAsia="宋体" w:cs="Times New Roman"/>
          <w:b/>
          <w:bCs/>
          <w:color w:val="333333"/>
          <w:kern w:val="0"/>
          <w:sz w:val="24"/>
          <w:szCs w:val="24"/>
        </w:rPr>
      </w:pPr>
    </w:p>
    <w:p>
      <w:pPr>
        <w:spacing w:before="156" w:beforeLines="50" w:line="360" w:lineRule="auto"/>
        <w:ind w:firstLine="364" w:firstLineChars="152"/>
        <w:rPr>
          <w:rFonts w:ascii="Times New Roman" w:hAnsi="Times New Roman" w:eastAsia="宋体" w:cs="Times New Roman"/>
          <w:sz w:val="24"/>
          <w:szCs w:val="24"/>
        </w:rPr>
      </w:pPr>
      <w:r>
        <w:rPr>
          <w:rFonts w:hint="eastAsia" w:ascii="Times New Roman" w:hAnsi="Times New Roman" w:eastAsia="宋体" w:cs="Times New Roman"/>
          <w:sz w:val="24"/>
          <w:szCs w:val="24"/>
        </w:rPr>
        <w:t>近年来，包括新型冠状病毒（COVID-19）在</w:t>
      </w:r>
      <w:r>
        <w:rPr>
          <w:rFonts w:ascii="Times New Roman" w:hAnsi="Times New Roman" w:eastAsia="宋体" w:cs="Times New Roman"/>
          <w:sz w:val="24"/>
          <w:szCs w:val="24"/>
        </w:rPr>
        <w:t>内的</w:t>
      </w:r>
      <w:r>
        <w:rPr>
          <w:rFonts w:hint="eastAsia" w:ascii="Times New Roman" w:hAnsi="Times New Roman" w:eastAsia="宋体" w:cs="Times New Roman"/>
          <w:sz w:val="24"/>
          <w:szCs w:val="24"/>
        </w:rPr>
        <w:t>突发</w:t>
      </w:r>
      <w:r>
        <w:rPr>
          <w:rFonts w:ascii="Times New Roman" w:hAnsi="Times New Roman" w:eastAsia="宋体" w:cs="Times New Roman"/>
          <w:sz w:val="24"/>
          <w:szCs w:val="24"/>
        </w:rPr>
        <w:t>病毒</w:t>
      </w:r>
      <w:r>
        <w:rPr>
          <w:rFonts w:hint="eastAsia" w:ascii="Times New Roman" w:hAnsi="Times New Roman" w:eastAsia="宋体" w:cs="Times New Roman"/>
          <w:sz w:val="24"/>
          <w:szCs w:val="24"/>
        </w:rPr>
        <w:t>传染性疾病不断出现（如SARS、MERS）</w:t>
      </w:r>
      <w:r>
        <w:rPr>
          <w:rFonts w:ascii="Times New Roman" w:hAnsi="Times New Roman" w:eastAsia="宋体" w:cs="Times New Roman"/>
          <w:sz w:val="24"/>
          <w:szCs w:val="24"/>
        </w:rPr>
        <w:t>，</w:t>
      </w:r>
      <w:r>
        <w:rPr>
          <w:rFonts w:hint="eastAsia" w:ascii="Times New Roman" w:hAnsi="Times New Roman" w:eastAsia="宋体" w:cs="Times New Roman"/>
          <w:sz w:val="24"/>
          <w:szCs w:val="24"/>
        </w:rPr>
        <w:t>迫使人类寻找有效的应对策略，其中动物模型建立是攻克传染性疾病不可缺少的必要条件。中国医学科学院医学实验动物研究所完成了新型冠状病毒肺炎仓鼠感染模型的研究工作。2020年8月31日向中国实验动物学会动物模型鉴定与评价委员会申请鉴定（受理编号：IN-2020-00</w:t>
      </w:r>
      <w:r>
        <w:rPr>
          <w:rFonts w:hint="eastAsia" w:ascii="Times New Roman" w:hAnsi="Times New Roman" w:eastAsia="宋体" w:cs="Times New Roman"/>
          <w:sz w:val="24"/>
          <w:szCs w:val="24"/>
          <w:lang w:val="en-US" w:eastAsia="zh-CN"/>
        </w:rPr>
        <w:t>5</w:t>
      </w:r>
      <w:r>
        <w:rPr>
          <w:rFonts w:hint="eastAsia" w:ascii="Times New Roman" w:hAnsi="Times New Roman" w:eastAsia="宋体" w:cs="Times New Roman"/>
          <w:sz w:val="24"/>
          <w:szCs w:val="24"/>
        </w:rPr>
        <w:t>），</w:t>
      </w:r>
      <w:r>
        <w:rPr>
          <w:rFonts w:ascii="Times New Roman" w:hAnsi="Times New Roman" w:eastAsia="宋体" w:cs="Times New Roman"/>
          <w:sz w:val="24"/>
          <w:szCs w:val="24"/>
        </w:rPr>
        <w:t>中国实验动物学会动物模型鉴定与评价委员会组织来自国内</w:t>
      </w:r>
      <w:r>
        <w:rPr>
          <w:rFonts w:hint="eastAsia" w:ascii="Times New Roman" w:hAnsi="Times New Roman" w:eastAsia="宋体" w:cs="Times New Roman"/>
          <w:sz w:val="24"/>
          <w:szCs w:val="24"/>
        </w:rPr>
        <w:t>从事</w:t>
      </w:r>
      <w:r>
        <w:rPr>
          <w:rFonts w:ascii="Times New Roman" w:hAnsi="Times New Roman" w:eastAsia="宋体" w:cs="Times New Roman"/>
          <w:sz w:val="24"/>
          <w:szCs w:val="24"/>
        </w:rPr>
        <w:t>传染病</w:t>
      </w:r>
      <w:r>
        <w:rPr>
          <w:rFonts w:hint="eastAsia" w:ascii="Times New Roman" w:hAnsi="Times New Roman" w:eastAsia="宋体" w:cs="Times New Roman"/>
          <w:sz w:val="24"/>
          <w:szCs w:val="24"/>
        </w:rPr>
        <w:t>动物</w:t>
      </w:r>
      <w:r>
        <w:rPr>
          <w:rFonts w:ascii="Times New Roman" w:hAnsi="Times New Roman" w:eastAsia="宋体" w:cs="Times New Roman"/>
          <w:sz w:val="24"/>
          <w:szCs w:val="24"/>
        </w:rPr>
        <w:t>模型和基础研究的专家进行了</w:t>
      </w:r>
      <w:r>
        <w:rPr>
          <w:rFonts w:hint="eastAsia" w:ascii="Times New Roman" w:hAnsi="Times New Roman" w:eastAsia="宋体" w:cs="Times New Roman"/>
          <w:sz w:val="24"/>
          <w:szCs w:val="24"/>
        </w:rPr>
        <w:t>书面</w:t>
      </w:r>
      <w:r>
        <w:rPr>
          <w:rFonts w:ascii="Times New Roman" w:hAnsi="Times New Roman" w:eastAsia="宋体" w:cs="Times New Roman"/>
          <w:sz w:val="24"/>
          <w:szCs w:val="24"/>
        </w:rPr>
        <w:t>评审</w:t>
      </w:r>
      <w:r>
        <w:rPr>
          <w:rFonts w:hint="eastAsia" w:ascii="Times New Roman" w:hAnsi="Times New Roman" w:eastAsia="宋体" w:cs="Times New Roman"/>
          <w:sz w:val="24"/>
          <w:szCs w:val="24"/>
        </w:rPr>
        <w:t>、</w:t>
      </w:r>
      <w:r>
        <w:rPr>
          <w:rFonts w:ascii="Times New Roman" w:hAnsi="Times New Roman" w:eastAsia="宋体" w:cs="Times New Roman"/>
          <w:sz w:val="24"/>
          <w:szCs w:val="24"/>
        </w:rPr>
        <w:t>网络</w:t>
      </w:r>
      <w:r>
        <w:rPr>
          <w:rFonts w:hint="eastAsia" w:ascii="Times New Roman" w:hAnsi="Times New Roman" w:eastAsia="宋体" w:cs="Times New Roman"/>
          <w:sz w:val="24"/>
          <w:szCs w:val="24"/>
        </w:rPr>
        <w:t>答辩，</w:t>
      </w:r>
      <w:r>
        <w:rPr>
          <w:rFonts w:ascii="Times New Roman" w:hAnsi="Times New Roman" w:eastAsia="宋体" w:cs="Times New Roman"/>
          <w:sz w:val="24"/>
          <w:szCs w:val="24"/>
        </w:rPr>
        <w:t>并</w:t>
      </w:r>
      <w:r>
        <w:rPr>
          <w:rFonts w:hint="eastAsia" w:ascii="Times New Roman" w:hAnsi="Times New Roman" w:eastAsia="宋体" w:cs="Times New Roman"/>
          <w:sz w:val="24"/>
          <w:szCs w:val="24"/>
        </w:rPr>
        <w:t>请</w:t>
      </w:r>
      <w:r>
        <w:rPr>
          <w:rFonts w:ascii="Times New Roman" w:hAnsi="Times New Roman" w:eastAsia="宋体" w:cs="Times New Roman"/>
          <w:sz w:val="24"/>
          <w:szCs w:val="24"/>
        </w:rPr>
        <w:t>申请者</w:t>
      </w:r>
      <w:r>
        <w:rPr>
          <w:rFonts w:hint="eastAsia" w:ascii="Times New Roman" w:hAnsi="Times New Roman" w:eastAsia="宋体" w:cs="Times New Roman"/>
          <w:sz w:val="24"/>
          <w:szCs w:val="24"/>
        </w:rPr>
        <w:t>按照专家</w:t>
      </w:r>
      <w:r>
        <w:rPr>
          <w:rFonts w:ascii="Times New Roman" w:hAnsi="Times New Roman" w:eastAsia="宋体" w:cs="Times New Roman"/>
          <w:sz w:val="24"/>
          <w:szCs w:val="24"/>
        </w:rPr>
        <w:t>们的意见进行</w:t>
      </w:r>
      <w:r>
        <w:rPr>
          <w:rFonts w:hint="eastAsia" w:ascii="Times New Roman" w:hAnsi="Times New Roman" w:eastAsia="宋体" w:cs="Times New Roman"/>
          <w:sz w:val="24"/>
          <w:szCs w:val="24"/>
        </w:rPr>
        <w:t>修改</w:t>
      </w:r>
      <w:r>
        <w:rPr>
          <w:rFonts w:ascii="Times New Roman" w:hAnsi="Times New Roman" w:eastAsia="宋体" w:cs="Times New Roman"/>
          <w:sz w:val="24"/>
          <w:szCs w:val="24"/>
        </w:rPr>
        <w:t>，专家们再次核实</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最终经实验动物模型鉴定与评价委员会投票通过</w:t>
      </w:r>
      <w:r>
        <w:rPr>
          <w:rFonts w:ascii="Times New Roman" w:hAnsi="Times New Roman" w:eastAsia="宋体" w:cs="Times New Roman"/>
          <w:sz w:val="24"/>
          <w:szCs w:val="24"/>
        </w:rPr>
        <w:t>。现将模型</w:t>
      </w:r>
      <w:r>
        <w:rPr>
          <w:rFonts w:hint="eastAsia" w:ascii="Times New Roman" w:hAnsi="Times New Roman" w:eastAsia="宋体" w:cs="Times New Roman"/>
          <w:sz w:val="24"/>
          <w:szCs w:val="24"/>
        </w:rPr>
        <w:t>建立</w:t>
      </w:r>
      <w:r>
        <w:rPr>
          <w:rFonts w:ascii="Times New Roman" w:hAnsi="Times New Roman" w:eastAsia="宋体" w:cs="Times New Roman"/>
          <w:sz w:val="24"/>
          <w:szCs w:val="24"/>
        </w:rPr>
        <w:t>和</w:t>
      </w:r>
      <w:r>
        <w:rPr>
          <w:rFonts w:hint="eastAsia" w:ascii="Times New Roman" w:hAnsi="Times New Roman" w:eastAsia="宋体" w:cs="Times New Roman"/>
          <w:sz w:val="24"/>
          <w:szCs w:val="24"/>
        </w:rPr>
        <w:t>评审</w:t>
      </w:r>
      <w:r>
        <w:rPr>
          <w:rFonts w:ascii="Times New Roman" w:hAnsi="Times New Roman" w:eastAsia="宋体" w:cs="Times New Roman"/>
          <w:sz w:val="24"/>
          <w:szCs w:val="24"/>
        </w:rPr>
        <w:t>结果公示如下</w:t>
      </w:r>
      <w:r>
        <w:rPr>
          <w:rFonts w:hint="eastAsia" w:ascii="Times New Roman" w:hAnsi="Times New Roman" w:eastAsia="宋体" w:cs="Times New Roman"/>
          <w:sz w:val="24"/>
          <w:szCs w:val="24"/>
        </w:rPr>
        <w:t>：</w:t>
      </w:r>
    </w:p>
    <w:p>
      <w:pPr>
        <w:spacing w:before="156" w:beforeLines="50" w:line="360" w:lineRule="auto"/>
        <w:ind w:firstLine="364" w:firstLineChars="152"/>
        <w:rPr>
          <w:rFonts w:ascii="Times New Roman" w:hAnsi="Times New Roman" w:eastAsia="宋体" w:cs="Times New Roman"/>
          <w:sz w:val="24"/>
          <w:szCs w:val="24"/>
        </w:rPr>
      </w:pPr>
    </w:p>
    <w:p>
      <w:pPr>
        <w:spacing w:before="156" w:beforeLines="50" w:line="360" w:lineRule="auto"/>
        <w:ind w:firstLine="366" w:firstLineChars="152"/>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一</w:t>
      </w:r>
      <w:r>
        <w:rPr>
          <w:rFonts w:ascii="Times New Roman" w:hAnsi="Times New Roman" w:eastAsia="宋体" w:cs="Times New Roman"/>
          <w:b/>
          <w:bCs/>
          <w:sz w:val="24"/>
          <w:szCs w:val="24"/>
        </w:rPr>
        <w:t>、</w:t>
      </w:r>
      <w:r>
        <w:rPr>
          <w:rFonts w:hint="eastAsia" w:ascii="Times New Roman" w:hAnsi="Times New Roman" w:eastAsia="宋体" w:cs="Times New Roman"/>
          <w:b/>
          <w:bCs/>
          <w:sz w:val="24"/>
          <w:szCs w:val="24"/>
        </w:rPr>
        <w:t>研究内容简介</w:t>
      </w:r>
    </w:p>
    <w:p>
      <w:pPr>
        <w:spacing w:before="156" w:beforeLines="50" w:line="360" w:lineRule="auto"/>
        <w:ind w:firstLine="366" w:firstLineChars="152"/>
        <w:rPr>
          <w:rFonts w:ascii="Times New Roman" w:hAnsi="Times New Roman" w:eastAsia="宋体" w:cs="Times New Roman"/>
          <w:b/>
          <w:bCs/>
          <w:sz w:val="24"/>
          <w:szCs w:val="24"/>
        </w:rPr>
      </w:pPr>
      <w:r>
        <w:rPr>
          <w:rFonts w:ascii="Times New Roman" w:hAnsi="Times New Roman" w:eastAsia="宋体" w:cs="Times New Roman"/>
          <w:b/>
          <w:bCs/>
          <w:sz w:val="24"/>
          <w:szCs w:val="24"/>
        </w:rPr>
        <w:t>1、</w:t>
      </w:r>
      <w:r>
        <w:rPr>
          <w:rFonts w:hint="eastAsia" w:ascii="Times New Roman" w:hAnsi="Times New Roman" w:eastAsia="宋体" w:cs="Times New Roman"/>
          <w:b/>
          <w:bCs/>
          <w:sz w:val="24"/>
          <w:szCs w:val="24"/>
        </w:rPr>
        <w:t>动物模型的建立</w:t>
      </w:r>
    </w:p>
    <w:p>
      <w:pPr>
        <w:spacing w:before="156" w:beforeLines="50"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叙利亚金黄地鼠</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SPF级</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12周</w:t>
      </w:r>
      <w:r>
        <w:rPr>
          <w:rFonts w:hint="eastAsia"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rPr>
        <w:t>25周</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雌雄各半，</w:t>
      </w:r>
      <w:r>
        <w:rPr>
          <w:rFonts w:hint="eastAsia" w:ascii="Times New Roman" w:hAnsi="Times New Roman" w:eastAsia="宋体" w:cs="Times New Roman"/>
          <w:sz w:val="24"/>
          <w:szCs w:val="24"/>
        </w:rPr>
        <w:t>1×10</w:t>
      </w:r>
      <w:r>
        <w:rPr>
          <w:rFonts w:hint="eastAsia" w:ascii="Times New Roman" w:hAnsi="Times New Roman" w:eastAsia="宋体" w:cs="Times New Roman"/>
          <w:sz w:val="24"/>
          <w:szCs w:val="24"/>
          <w:vertAlign w:val="superscript"/>
          <w:lang w:val="en-US" w:eastAsia="zh-CN"/>
        </w:rPr>
        <w:t>5</w:t>
      </w:r>
      <w:r>
        <w:rPr>
          <w:rFonts w:hint="eastAsia" w:ascii="Times New Roman" w:hAnsi="Times New Roman" w:eastAsia="宋体" w:cs="Times New Roman"/>
          <w:sz w:val="24"/>
          <w:szCs w:val="24"/>
        </w:rPr>
        <w:t>TCID</w:t>
      </w:r>
      <w:r>
        <w:rPr>
          <w:rFonts w:hint="eastAsia" w:ascii="Times New Roman" w:hAnsi="Times New Roman" w:eastAsia="宋体" w:cs="Times New Roman"/>
          <w:sz w:val="24"/>
          <w:szCs w:val="24"/>
          <w:vertAlign w:val="subscript"/>
        </w:rPr>
        <w:t>50</w:t>
      </w:r>
      <w:r>
        <w:rPr>
          <w:rFonts w:hint="eastAsia" w:ascii="Times New Roman" w:hAnsi="Times New Roman" w:eastAsia="宋体" w:cs="Times New Roman"/>
          <w:sz w:val="24"/>
          <w:szCs w:val="24"/>
        </w:rPr>
        <w:t>/只病毒液滴鼻感染，100μl/只。</w:t>
      </w:r>
    </w:p>
    <w:p>
      <w:pPr>
        <w:spacing w:before="156" w:beforeLines="50" w:line="360" w:lineRule="auto"/>
        <w:ind w:firstLine="361" w:firstLineChars="150"/>
        <w:rPr>
          <w:rFonts w:ascii="Times New Roman" w:hAnsi="Times New Roman" w:eastAsia="宋体" w:cs="Times New Roman"/>
          <w:b/>
          <w:bCs/>
          <w:color w:val="333333"/>
          <w:kern w:val="0"/>
          <w:sz w:val="24"/>
          <w:szCs w:val="24"/>
        </w:rPr>
      </w:pPr>
      <w:r>
        <w:rPr>
          <w:rFonts w:ascii="Times New Roman" w:hAnsi="Times New Roman" w:eastAsia="宋体" w:cs="Times New Roman"/>
          <w:b/>
          <w:bCs/>
          <w:color w:val="333333"/>
          <w:kern w:val="0"/>
          <w:sz w:val="24"/>
          <w:szCs w:val="24"/>
        </w:rPr>
        <w:t>2</w:t>
      </w:r>
      <w:r>
        <w:rPr>
          <w:rFonts w:hint="eastAsia" w:ascii="Times New Roman" w:hAnsi="Times New Roman" w:eastAsia="宋体" w:cs="Times New Roman"/>
          <w:b/>
          <w:bCs/>
          <w:color w:val="333333"/>
          <w:kern w:val="0"/>
          <w:sz w:val="24"/>
          <w:szCs w:val="24"/>
        </w:rPr>
        <w:t>、实验结果</w:t>
      </w:r>
    </w:p>
    <w:p>
      <w:pPr>
        <w:spacing w:before="156" w:beforeLines="50"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大体观察：临床症状观察包括动物的体重变化，一般症状观察（弓背、竖毛、反应度降低等）等。动物感染后主要表现为明显的体重下降，动物弓背、竖毛和嗜睡，部分动物行动迟缓，没有其他明显的症状。与其他新冠肺炎动物模型相比，体重下降和症状较为明显。</w:t>
      </w:r>
    </w:p>
    <w:p>
      <w:pPr>
        <w:spacing w:before="156" w:beforeLines="50"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（2）病毒学监测发现，在肺组织中可以检测到病毒RNA并能分离到活病毒，证实从被感染动物中可以分离到病毒，分别在感染后第1、3、5、7天可检测到肺组织病毒载量，在病因上成功模拟COVID-19.</w:t>
      </w:r>
    </w:p>
    <w:p>
      <w:pPr>
        <w:spacing w:before="156" w:beforeLines="50"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3）病理学检测发现，被感染动物的肺组织出现间质性肺炎，呈弥漫性重度间质性肺炎改变，可见肺泡隔增宽、炎细胞浸润，血管周围炎细胞浸润，肺泡腔内可见巨噬细胞及少量蛋白渗出，在间质性肺炎和巨噬细胞浸润方面与临床一致。</w:t>
      </w:r>
    </w:p>
    <w:p>
      <w:pPr>
        <w:spacing w:before="156" w:beforeLines="50" w:line="360" w:lineRule="auto"/>
        <w:rPr>
          <w:rFonts w:ascii="Times New Roman" w:hAnsi="Times New Roman" w:eastAsia="宋体" w:cs="Times New Roman"/>
          <w:b/>
          <w:bCs/>
          <w:sz w:val="24"/>
          <w:szCs w:val="24"/>
        </w:rPr>
      </w:pPr>
      <w:r>
        <w:rPr>
          <w:rFonts w:hint="eastAsia" w:ascii="Times New Roman" w:hAnsi="Times New Roman" w:eastAsia="宋体" w:cs="Times New Roman"/>
          <w:sz w:val="24"/>
          <w:szCs w:val="24"/>
        </w:rPr>
        <w:t xml:space="preserve"> </w:t>
      </w:r>
      <w:r>
        <w:rPr>
          <w:rFonts w:hint="eastAsia" w:ascii="Times New Roman" w:hAnsi="Times New Roman" w:eastAsia="宋体" w:cs="Times New Roman"/>
          <w:b/>
          <w:bCs/>
          <w:sz w:val="24"/>
          <w:szCs w:val="24"/>
        </w:rPr>
        <w:t xml:space="preserve">  3、实验动物模型的验证及应用</w:t>
      </w:r>
    </w:p>
    <w:p>
      <w:pPr>
        <w:spacing w:before="156" w:beforeLines="50" w:line="360" w:lineRule="auto"/>
        <w:ind w:firstLine="364" w:firstLineChars="152"/>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rPr>
        <w:t>仓鼠模型表现为体重下降、病毒在肺组织和气管内复制、肺组织表现为间质性肺炎改变。与其他新冠肺炎的动物模型相比，仓鼠模型的体重下降严重，体重下降百分比接近20%，肺组织表现为重度间质性肺炎。与国际报道的新冠肺炎仓鼠模型相比，本研究构建的仓鼠模型病程较长，感染后18天肺炎尚未完全恢复，模拟了临床上的重症新冠肺炎和恢复期症状。</w:t>
      </w:r>
    </w:p>
    <w:p>
      <w:pPr>
        <w:spacing w:before="156" w:beforeLines="50" w:line="360" w:lineRule="auto"/>
        <w:ind w:firstLine="364" w:firstLineChars="152"/>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应用该模型，接受国家任务，评价了疫苗和药物近10种，包括全球第一个减毒疫苗、第一个双靶点抗体等。</w:t>
      </w:r>
    </w:p>
    <w:p>
      <w:pPr>
        <w:spacing w:before="156" w:beforeLines="50" w:line="360" w:lineRule="auto"/>
        <w:rPr>
          <w:rFonts w:ascii="Times New Roman" w:hAnsi="Times New Roman" w:eastAsia="宋体" w:cs="Times New Roman"/>
          <w:b/>
          <w:bCs/>
          <w:color w:val="333333"/>
          <w:kern w:val="0"/>
          <w:sz w:val="24"/>
          <w:szCs w:val="24"/>
        </w:rPr>
      </w:pPr>
      <w:r>
        <w:rPr>
          <w:rFonts w:hint="eastAsia" w:ascii="Times New Roman" w:hAnsi="Times New Roman" w:eastAsia="宋体" w:cs="Times New Roman"/>
          <w:b/>
          <w:bCs/>
          <w:color w:val="333333"/>
          <w:kern w:val="0"/>
          <w:sz w:val="24"/>
          <w:szCs w:val="24"/>
        </w:rPr>
        <w:t xml:space="preserve">  二、评审</w:t>
      </w:r>
      <w:r>
        <w:rPr>
          <w:rFonts w:ascii="Times New Roman" w:hAnsi="Times New Roman" w:eastAsia="宋体" w:cs="Times New Roman"/>
          <w:b/>
          <w:bCs/>
          <w:color w:val="333333"/>
          <w:kern w:val="0"/>
          <w:sz w:val="24"/>
          <w:szCs w:val="24"/>
        </w:rPr>
        <w:t>结果</w:t>
      </w:r>
    </w:p>
    <w:p>
      <w:pPr>
        <w:spacing w:before="156" w:beforeLines="50" w:line="360" w:lineRule="auto"/>
        <w:ind w:firstLine="364" w:firstLineChars="152"/>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该模型在病因、病理和发病机制上与临床相比具有较好的相似性。申请材料编写规范，科学合理，操作性较强。答辩思路清晰。补充修改后的材料满足相关要求。</w:t>
      </w:r>
    </w:p>
    <w:p>
      <w:pPr>
        <w:spacing w:before="156" w:beforeLines="50" w:line="360" w:lineRule="auto"/>
        <w:ind w:firstLine="364" w:firstLineChars="152"/>
        <w:rPr>
          <w:rFonts w:ascii="Times New Roman" w:hAnsi="Times New Roman" w:eastAsia="宋体" w:cs="Times New Roman"/>
          <w:color w:val="333333"/>
          <w:kern w:val="0"/>
          <w:sz w:val="24"/>
          <w:szCs w:val="24"/>
        </w:rPr>
      </w:pPr>
      <w:r>
        <w:rPr>
          <w:rFonts w:hint="eastAsia" w:ascii="Times New Roman" w:hAnsi="Times New Roman" w:eastAsia="宋体" w:cs="Times New Roman"/>
          <w:kern w:val="0"/>
          <w:sz w:val="24"/>
          <w:szCs w:val="24"/>
        </w:rPr>
        <w:t>依据动物模型的创新性、应用价值和公认程度，专家经过书面</w:t>
      </w:r>
      <w:r>
        <w:rPr>
          <w:rFonts w:ascii="Times New Roman" w:hAnsi="Times New Roman" w:eastAsia="宋体" w:cs="Times New Roman"/>
          <w:kern w:val="0"/>
          <w:sz w:val="24"/>
          <w:szCs w:val="24"/>
        </w:rPr>
        <w:t>评审、网络答辩</w:t>
      </w:r>
      <w:r>
        <w:rPr>
          <w:rFonts w:hint="eastAsia" w:ascii="Times New Roman" w:hAnsi="Times New Roman" w:eastAsia="宋体" w:cs="Times New Roman"/>
          <w:kern w:val="0"/>
          <w:sz w:val="24"/>
          <w:szCs w:val="24"/>
        </w:rPr>
        <w:t>和</w:t>
      </w:r>
      <w:r>
        <w:rPr>
          <w:rFonts w:ascii="Times New Roman" w:hAnsi="Times New Roman" w:eastAsia="宋体" w:cs="Times New Roman"/>
          <w:kern w:val="0"/>
          <w:sz w:val="24"/>
          <w:szCs w:val="24"/>
        </w:rPr>
        <w:t>对</w:t>
      </w:r>
      <w:r>
        <w:rPr>
          <w:rFonts w:hint="eastAsia" w:ascii="Times New Roman" w:hAnsi="Times New Roman" w:eastAsia="宋体" w:cs="Times New Roman"/>
          <w:kern w:val="0"/>
          <w:sz w:val="24"/>
          <w:szCs w:val="24"/>
        </w:rPr>
        <w:t>修改材料进行复核</w:t>
      </w:r>
      <w:r>
        <w:rPr>
          <w:rFonts w:ascii="Times New Roman" w:hAnsi="Times New Roman" w:eastAsia="宋体" w:cs="Times New Roman"/>
          <w:kern w:val="0"/>
          <w:sz w:val="24"/>
          <w:szCs w:val="24"/>
        </w:rPr>
        <w:t>，5人5票，一致同意</w:t>
      </w:r>
      <w:r>
        <w:rPr>
          <w:rFonts w:hint="eastAsia" w:ascii="Times New Roman" w:hAnsi="Times New Roman" w:eastAsia="宋体" w:cs="Times New Roman"/>
          <w:kern w:val="0"/>
          <w:sz w:val="24"/>
          <w:szCs w:val="24"/>
        </w:rPr>
        <w:t>通过该</w:t>
      </w:r>
      <w:r>
        <w:rPr>
          <w:rFonts w:ascii="Times New Roman" w:hAnsi="Times New Roman" w:eastAsia="宋体" w:cs="Times New Roman"/>
          <w:kern w:val="0"/>
          <w:sz w:val="24"/>
          <w:szCs w:val="24"/>
        </w:rPr>
        <w:t>模型</w:t>
      </w:r>
      <w:r>
        <w:rPr>
          <w:rFonts w:hint="eastAsia" w:ascii="Times New Roman" w:hAnsi="Times New Roman" w:eastAsia="宋体" w:cs="Times New Roman"/>
          <w:kern w:val="0"/>
          <w:sz w:val="24"/>
          <w:szCs w:val="24"/>
        </w:rPr>
        <w:t>的</w:t>
      </w:r>
      <w:r>
        <w:rPr>
          <w:rFonts w:ascii="Times New Roman" w:hAnsi="Times New Roman" w:eastAsia="宋体" w:cs="Times New Roman"/>
          <w:kern w:val="0"/>
          <w:sz w:val="24"/>
          <w:szCs w:val="24"/>
        </w:rPr>
        <w:t>鉴定和评价</w:t>
      </w:r>
      <w:r>
        <w:rPr>
          <w:rFonts w:hint="eastAsia"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lang w:val="en-US" w:eastAsia="zh-CN"/>
        </w:rPr>
        <w:t>并</w:t>
      </w:r>
      <w:r>
        <w:rPr>
          <w:rFonts w:hint="eastAsia" w:ascii="Times New Roman" w:hAnsi="Times New Roman" w:eastAsia="宋体" w:cs="Times New Roman"/>
          <w:sz w:val="24"/>
          <w:szCs w:val="24"/>
          <w:lang w:val="en-US" w:eastAsia="zh-CN"/>
        </w:rPr>
        <w:t>最终经实验动物模型鉴定与评价委员会投票通过</w:t>
      </w:r>
      <w:bookmarkStart w:id="0" w:name="_GoBack"/>
      <w:bookmarkEnd w:id="0"/>
      <w:r>
        <w:rPr>
          <w:rFonts w:hint="eastAsia" w:ascii="Times New Roman" w:hAnsi="Times New Roman" w:eastAsia="宋体" w:cs="Times New Roman"/>
          <w:kern w:val="0"/>
          <w:sz w:val="24"/>
          <w:szCs w:val="24"/>
        </w:rPr>
        <w:t>。按照</w:t>
      </w:r>
      <w:r>
        <w:rPr>
          <w:rFonts w:ascii="Times New Roman" w:hAnsi="Times New Roman" w:eastAsia="宋体" w:cs="Times New Roman"/>
          <w:kern w:val="0"/>
          <w:sz w:val="24"/>
          <w:szCs w:val="24"/>
        </w:rPr>
        <w:t>中国实验动物学会制定的</w:t>
      </w:r>
      <w:r>
        <w:rPr>
          <w:rFonts w:hint="eastAsia" w:ascii="Times New Roman" w:hAnsi="Times New Roman" w:eastAsia="宋体" w:cs="Times New Roman"/>
          <w:kern w:val="0"/>
          <w:sz w:val="24"/>
          <w:szCs w:val="24"/>
        </w:rPr>
        <w:t>《中</w:t>
      </w:r>
      <w:r>
        <w:rPr>
          <w:rFonts w:ascii="Times New Roman" w:hAnsi="Times New Roman" w:eastAsia="宋体" w:cs="Times New Roman"/>
          <w:kern w:val="0"/>
          <w:sz w:val="24"/>
          <w:szCs w:val="24"/>
        </w:rPr>
        <w:t>国实验动物学会实验动物鉴定与评价管理</w:t>
      </w:r>
      <w:r>
        <w:rPr>
          <w:rFonts w:hint="eastAsia" w:ascii="Times New Roman" w:hAnsi="Times New Roman" w:eastAsia="宋体" w:cs="Times New Roman"/>
          <w:kern w:val="0"/>
          <w:sz w:val="24"/>
          <w:szCs w:val="24"/>
        </w:rPr>
        <w:t>管理</w:t>
      </w:r>
      <w:r>
        <w:rPr>
          <w:rFonts w:ascii="Times New Roman" w:hAnsi="Times New Roman" w:eastAsia="宋体" w:cs="Times New Roman"/>
          <w:kern w:val="0"/>
          <w:sz w:val="24"/>
          <w:szCs w:val="24"/>
        </w:rPr>
        <w:t>办法（试行）》</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授予</w:t>
      </w:r>
      <w:r>
        <w:rPr>
          <w:rFonts w:hint="eastAsia" w:ascii="Times New Roman" w:hAnsi="Times New Roman" w:eastAsia="宋体" w:cs="Times New Roman"/>
          <w:kern w:val="0"/>
          <w:sz w:val="24"/>
          <w:szCs w:val="24"/>
          <w:lang w:val="en-US" w:eastAsia="zh-CN"/>
        </w:rPr>
        <w:t>新型冠状病毒肺炎仓鼠感染</w:t>
      </w:r>
      <w:r>
        <w:rPr>
          <w:rFonts w:ascii="Times New Roman" w:hAnsi="Times New Roman" w:eastAsia="宋体" w:cs="Times New Roman"/>
          <w:kern w:val="0"/>
          <w:sz w:val="24"/>
          <w:szCs w:val="24"/>
        </w:rPr>
        <w:t>模型</w:t>
      </w:r>
      <w:r>
        <w:rPr>
          <w:rFonts w:hint="eastAsia" w:ascii="Times New Roman" w:hAnsi="Times New Roman" w:eastAsia="宋体" w:cs="Times New Roman"/>
          <w:kern w:val="0"/>
          <w:sz w:val="24"/>
          <w:szCs w:val="24"/>
          <w:lang w:val="en-US" w:eastAsia="zh-CN"/>
        </w:rPr>
        <w:t>为B</w:t>
      </w:r>
      <w:r>
        <w:rPr>
          <w:rFonts w:hint="eastAsia" w:ascii="Times New Roman" w:hAnsi="Times New Roman" w:eastAsia="宋体" w:cs="Times New Roman"/>
          <w:kern w:val="0"/>
          <w:sz w:val="24"/>
          <w:szCs w:val="24"/>
        </w:rPr>
        <w:t>级</w:t>
      </w:r>
      <w:r>
        <w:rPr>
          <w:rFonts w:hint="eastAsia" w:ascii="Times New Roman" w:hAnsi="Times New Roman" w:eastAsia="宋体" w:cs="Times New Roman"/>
          <w:kern w:val="0"/>
          <w:sz w:val="24"/>
          <w:szCs w:val="24"/>
          <w:lang w:val="en-US" w:eastAsia="zh-CN"/>
        </w:rPr>
        <w:t>动物模型</w:t>
      </w:r>
      <w:r>
        <w:rPr>
          <w:rFonts w:ascii="Times New Roman" w:hAnsi="Times New Roman" w:eastAsia="宋体" w:cs="Times New Roman"/>
          <w:kern w:val="0"/>
          <w:sz w:val="24"/>
          <w:szCs w:val="24"/>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Microsoft YaHei UI">
    <w:panose1 w:val="020B0503020204020204"/>
    <w:charset w:val="86"/>
    <w:family w:val="swiss"/>
    <w:pitch w:val="default"/>
    <w:sig w:usb0="A0000287" w:usb1="28CF3C52" w:usb2="00000016" w:usb3="00000000" w:csb0="0004001F" w:csb1="00000000"/>
  </w:font>
  <w:font w:name="微软雅黑">
    <w:panose1 w:val="020B0503020204020204"/>
    <w:charset w:val="86"/>
    <w:family w:val="auto"/>
    <w:pitch w:val="default"/>
    <w:sig w:usb0="A0000287" w:usb1="28C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672"/>
    <w:rsid w:val="0002106B"/>
    <w:rsid w:val="00057F8E"/>
    <w:rsid w:val="00300D34"/>
    <w:rsid w:val="00312D0A"/>
    <w:rsid w:val="00325D56"/>
    <w:rsid w:val="00360E4F"/>
    <w:rsid w:val="003F279D"/>
    <w:rsid w:val="00400DF1"/>
    <w:rsid w:val="004410A5"/>
    <w:rsid w:val="004F0262"/>
    <w:rsid w:val="00521D2D"/>
    <w:rsid w:val="006477F8"/>
    <w:rsid w:val="006A1879"/>
    <w:rsid w:val="006F6831"/>
    <w:rsid w:val="007A0D76"/>
    <w:rsid w:val="007A693B"/>
    <w:rsid w:val="008A4756"/>
    <w:rsid w:val="008C3AE1"/>
    <w:rsid w:val="008D1F21"/>
    <w:rsid w:val="008D2B2E"/>
    <w:rsid w:val="00A01672"/>
    <w:rsid w:val="00AF48C3"/>
    <w:rsid w:val="00BB5BDD"/>
    <w:rsid w:val="00C50748"/>
    <w:rsid w:val="00D500B1"/>
    <w:rsid w:val="00DA59F9"/>
    <w:rsid w:val="00DB5E88"/>
    <w:rsid w:val="00E32489"/>
    <w:rsid w:val="00F07A53"/>
    <w:rsid w:val="00F25D3E"/>
    <w:rsid w:val="00F64EA0"/>
    <w:rsid w:val="00F81F21"/>
    <w:rsid w:val="00FB7EC0"/>
    <w:rsid w:val="00FD2B68"/>
    <w:rsid w:val="00FF4C19"/>
    <w:rsid w:val="097E41E0"/>
    <w:rsid w:val="18544934"/>
    <w:rsid w:val="26C34F0F"/>
    <w:rsid w:val="387A6A2E"/>
    <w:rsid w:val="389D6629"/>
    <w:rsid w:val="38DC6C0B"/>
    <w:rsid w:val="3DD23C23"/>
    <w:rsid w:val="3F6D239C"/>
    <w:rsid w:val="404B1C4C"/>
    <w:rsid w:val="41E4325C"/>
    <w:rsid w:val="459B2CF8"/>
    <w:rsid w:val="46510B23"/>
    <w:rsid w:val="47967C77"/>
    <w:rsid w:val="47C0017F"/>
    <w:rsid w:val="486E17D9"/>
    <w:rsid w:val="49385F18"/>
    <w:rsid w:val="49BD4099"/>
    <w:rsid w:val="4A124593"/>
    <w:rsid w:val="53727D4F"/>
    <w:rsid w:val="605A3F18"/>
    <w:rsid w:val="60DD2425"/>
    <w:rsid w:val="65366CA2"/>
    <w:rsid w:val="653C4E8E"/>
    <w:rsid w:val="656D1F45"/>
    <w:rsid w:val="67D6403A"/>
    <w:rsid w:val="6C661A68"/>
    <w:rsid w:val="6CB20685"/>
    <w:rsid w:val="6E570939"/>
    <w:rsid w:val="71687CA6"/>
    <w:rsid w:val="765D7FE3"/>
    <w:rsid w:val="7C6E621A"/>
    <w:rsid w:val="7CE466F1"/>
    <w:rsid w:val="7F0B4A83"/>
    <w:rsid w:val="7F1576B2"/>
    <w:rsid w:val="7FCA3F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uiPriority w:val="99"/>
    <w:rPr>
      <w:rFonts w:ascii="Microsoft YaHei UI" w:eastAsia="Microsoft YaHei UI"/>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qFormat/>
    <w:uiPriority w:val="99"/>
    <w:rPr>
      <w:sz w:val="18"/>
      <w:szCs w:val="18"/>
    </w:rPr>
  </w:style>
  <w:style w:type="paragraph" w:styleId="9">
    <w:name w:val="List Paragraph"/>
    <w:basedOn w:val="1"/>
    <w:qFormat/>
    <w:uiPriority w:val="99"/>
    <w:pPr>
      <w:ind w:firstLine="420" w:firstLineChars="200"/>
    </w:pPr>
  </w:style>
  <w:style w:type="character" w:customStyle="1" w:styleId="10">
    <w:name w:val="批注框文本 字符"/>
    <w:basedOn w:val="6"/>
    <w:link w:val="2"/>
    <w:semiHidden/>
    <w:uiPriority w:val="99"/>
    <w:rPr>
      <w:rFonts w:ascii="Microsoft YaHei UI" w:eastAsia="Microsoft YaHei U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191</Words>
  <Characters>1090</Characters>
  <Lines>9</Lines>
  <Paragraphs>2</Paragraphs>
  <TotalTime>0</TotalTime>
  <ScaleCrop>false</ScaleCrop>
  <LinksUpToDate>false</LinksUpToDate>
  <CharactersWithSpaces>1279</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2020-04-24T06:52:00Z</dcterms:created>
  <dc:creator>shi yujing</dc:creator>
  <cp:lastModifiedBy>hanxue</cp:lastModifiedBy>
  <dcterms:modified xsi:type="dcterms:W3CDTF">2020-10-25T05:04:25Z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